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PROPOSED SOLUTION</w:t>
      </w:r>
    </w:p>
    <w:p>
      <w:pPr>
        <w:pStyle w:val="Title"/>
        <w:spacing w:after="60"/>
      </w:pPr>
      <w:r>
        <w:t>Proposed Solution</w:t>
      </w:r>
    </w:p>
    <w:p>
      <w:pPr>
        <w:spacing w:after="180"/>
      </w:pPr>
      <w:r>
        <w:rPr>
          <w:i/>
          <w:color w:val="60717E"/>
          <w:sz w:val="20"/>
        </w:rPr>
        <w:t>Project-level solution statement and value proposition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73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76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Project-specific Description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1. Problem to be solved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Make incident handling a single, traceable lifecycle instead of a collection of manual hand-offs.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2. Idea / Solution description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Build an Incident Life Cycle Automation system that captures incidents, applies triage rules, routes ownership, tracks SLA timers, triggers escalation, records resolution, supports closure and keeps an audit trail.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3. Novelty / Uniqueness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The value is the workflow automation itself: operational rules are embedded in the lifecycle so the next action can be triggered consistently without repeated manual follow-up.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4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4. Social Impact / Customer Satisfaction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Improves transparency for users, reduces avoidable waiting, gives support teams clearer ownership and creates a dependable history for incident review.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5. Business Model / Revenue Model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For an academic/project implementation, the primary objective is process improvement. In a real deployment, it could be offered as an internal operations platform or a subscription-based service depending on hosting and support scope.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6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6. Scalability of the Solution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7"/>
              </w:rPr>
              <w:t>The same lifecycle can support multiple teams, queues, priorities and SLA policies by separating workflow rules from core incident data.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