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67C80"/>
          <w:sz w:val="17"/>
        </w:rPr>
        <w:t>PROJECT DOCUMENTATION  /  SOLUTION ARCHITECTURE</w:t>
      </w:r>
    </w:p>
    <w:p>
      <w:pPr>
        <w:pStyle w:val="Title"/>
        <w:spacing w:after="60"/>
      </w:pPr>
      <w:r>
        <w:t>Solution Architecture</w:t>
      </w:r>
    </w:p>
    <w:p>
      <w:pPr>
        <w:spacing w:after="180"/>
      </w:pPr>
      <w:r>
        <w:rPr>
          <w:i/>
          <w:color w:val="60717E"/>
          <w:sz w:val="20"/>
        </w:rPr>
        <w:t>Layered architecture aligned to the incident lifecycle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  <w:cantSplit/>
        </w:trPr>
        <w:tc>
          <w:tcPr>
            <w:tcW w:type="dxa" w:w="3384"/>
            <w:shd w:fill="E8F4F4"/>
          </w:tcPr>
          <w:p>
            <w:r/>
            <w:r>
              <w:rPr>
                <w:b/>
                <w:color w:val="167C80"/>
                <w:sz w:val="15"/>
              </w:rPr>
              <w:t>DATE</w:t>
              <w:br/>
            </w:r>
            <w:r>
              <w:rPr>
                <w:b/>
                <w:color w:val="17324D"/>
                <w:sz w:val="20"/>
              </w:rPr>
              <w:t>07 October 2026</w:t>
            </w:r>
          </w:p>
        </w:tc>
        <w:tc>
          <w:tcPr>
            <w:tcW w:type="dxa" w:w="3384"/>
            <w:shd w:fill="E8F4F4"/>
          </w:tcPr>
          <w:p>
            <w:r/>
            <w:r>
              <w:rPr>
                <w:b/>
                <w:color w:val="167C80"/>
                <w:sz w:val="15"/>
              </w:rPr>
              <w:t>STUDENT NAME</w:t>
              <w:br/>
            </w:r>
            <w:r>
              <w:rPr>
                <w:b/>
                <w:color w:val="17324D"/>
                <w:sz w:val="20"/>
              </w:rPr>
              <w:t>Gangadevi.R</w:t>
            </w:r>
          </w:p>
        </w:tc>
        <w:tc>
          <w:tcPr>
            <w:tcW w:type="dxa" w:w="3384"/>
            <w:shd w:fill="E8F4F4"/>
          </w:tcPr>
          <w:p>
            <w:r/>
            <w:r>
              <w:rPr>
                <w:b/>
                <w:color w:val="167C80"/>
                <w:sz w:val="15"/>
              </w:rPr>
              <w:t>PROJECT</w:t>
              <w:br/>
            </w:r>
            <w:r>
              <w:rPr>
                <w:b/>
                <w:color w:val="17324D"/>
                <w:sz w:val="20"/>
              </w:rPr>
              <w:t>Incident Life Cycle Automation</w:t>
            </w:r>
          </w:p>
        </w:tc>
      </w:tr>
    </w:tbl>
    <w:p>
      <w:pPr>
        <w:spacing w:after="40"/>
      </w:pPr>
    </w:p>
    <w:p>
      <w:r>
        <w:t>The architecture keeps the user interface, lifecycle/business rules, persistent data and scheduled automation responsibilities separate so each part can evolve without rewriting the whole system.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5539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5539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Key components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  <w:cantSplit/>
        </w:trPr>
        <w:tc>
          <w:tcPr>
            <w:tcW w:type="dxa" w:w="2160"/>
            <w:vAlign w:val="center"/>
            <w:shd w:fill="17324D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Layer</w:t>
            </w:r>
          </w:p>
        </w:tc>
        <w:tc>
          <w:tcPr>
            <w:tcW w:type="dxa" w:w="3888"/>
            <w:vAlign w:val="center"/>
            <w:shd w:fill="17324D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Key responsibility</w:t>
            </w:r>
          </w:p>
        </w:tc>
        <w:tc>
          <w:tcPr>
            <w:tcW w:type="dxa" w:w="4176"/>
            <w:vAlign w:val="center"/>
            <w:shd w:fill="17324D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Project components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Presentation</w:t>
            </w:r>
          </w:p>
        </w:tc>
        <w:tc>
          <w:tcPr>
            <w:tcW w:type="dxa" w:w="3456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User interaction and visibility</w:t>
            </w:r>
          </w:p>
        </w:tc>
        <w:tc>
          <w:tcPr>
            <w:tcW w:type="dxa" w:w="3456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Incident intake, incident detail, dashboard, filters, role-based actions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Application &amp; Automation</w:t>
            </w:r>
          </w:p>
        </w:tc>
        <w:tc>
          <w:tcPr>
            <w:tcW w:type="dxa" w:w="3456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Enforce lifecycle rules and automate decisions</w:t>
            </w:r>
          </w:p>
        </w:tc>
        <w:tc>
          <w:tcPr>
            <w:tcW w:type="dxa" w:w="3456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Validation, triage, routing, status transitions, SLA timers, escalation, notifications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Data</w:t>
            </w:r>
          </w:p>
        </w:tc>
        <w:tc>
          <w:tcPr>
            <w:tcW w:type="dxa" w:w="3456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Persist operational and audit information</w:t>
            </w:r>
          </w:p>
        </w:tc>
        <w:tc>
          <w:tcPr>
            <w:tcW w:type="dxa" w:w="3456"/>
            <w:vAlign w:val="center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Incidents, users/roles, workflow rules, status history, audit log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Integration / Runtime</w:t>
            </w:r>
          </w:p>
        </w:tc>
        <w:tc>
          <w:tcPr>
            <w:tcW w:type="dxa" w:w="3456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Run scheduled work and deliver messages</w:t>
            </w:r>
          </w:p>
        </w:tc>
        <w:tc>
          <w:tcPr>
            <w:tcW w:type="dxa" w:w="3456"/>
            <w:vAlign w:val="center"/>
            <w:shd w:fill="F5F8FB"/>
            <w:tcBorders>
              <w:top w:val="single" w:sz="4" w:color="D7E2EA"/>
              <w:left w:val="single" w:sz="4" w:color="D7E2EA"/>
              <w:bottom w:val="single" w:sz="4" w:color="D7E2EA"/>
              <w:right w:val="single" w:sz="4" w:color="D7E2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53746"/>
                <w:sz w:val="16"/>
              </w:rPr>
              <w:t>Scheduler/worker, email gateway, runtime/deployment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71808C"/>
        <w:sz w:val="16"/>
      </w:rPr>
      <w:t>Incident Life Cycle Automation  |  Gangadevi.R  |  07 October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b w:val="0"/>
      <w:color w:val="25374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2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67C8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5374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2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