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67C80"/>
          <w:sz w:val="17"/>
        </w:rPr>
        <w:t>PROJECT DOCUMENTATION  /  DATA FLOW DIAGRAM &amp; USER STORIES</w:t>
      </w:r>
    </w:p>
    <w:p>
      <w:pPr>
        <w:pStyle w:val="Title"/>
        <w:spacing w:after="60"/>
      </w:pPr>
      <w:r>
        <w:t>Data Flow Diagram &amp; User Stories</w:t>
      </w:r>
    </w:p>
    <w:p>
      <w:pPr>
        <w:spacing w:after="180"/>
      </w:pPr>
      <w:r>
        <w:rPr>
          <w:i/>
          <w:color w:val="60717E"/>
          <w:sz w:val="20"/>
        </w:rPr>
        <w:t>Data movement and backlog-ready user stories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DATE</w:t>
              <w:br/>
            </w:r>
            <w:r>
              <w:rPr>
                <w:b/>
                <w:color w:val="17324D"/>
                <w:sz w:val="20"/>
              </w:rPr>
              <w:t>07 October 2026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STUDENT NAME</w:t>
              <w:br/>
            </w:r>
            <w:r>
              <w:rPr>
                <w:b/>
                <w:color w:val="17324D"/>
                <w:sz w:val="20"/>
              </w:rPr>
              <w:t>Gangadevi.R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PROJECT</w:t>
              <w:br/>
            </w:r>
            <w:r>
              <w:rPr>
                <w:b/>
                <w:color w:val="17324D"/>
                <w:sz w:val="20"/>
              </w:rPr>
              <w:t>Incident Life Cycle Automation</w:t>
            </w:r>
          </w:p>
        </w:tc>
      </w:tr>
    </w:tbl>
    <w:p>
      <w:pPr>
        <w:spacing w:after="40"/>
      </w:pPr>
    </w:p>
    <w:p>
      <w:pPr>
        <w:pStyle w:val="Heading1"/>
      </w:pPr>
      <w:r>
        <w:t>Data Flow Diagram</w:t>
      </w:r>
    </w:p>
    <w:p>
      <w:r>
        <w:t>The diagram below shows the core flow of incident data between users, automation processes and the audit-ready incident store.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67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67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User Stories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User Type</w:t>
            </w:r>
          </w:p>
        </w:tc>
        <w:tc>
          <w:tcPr>
            <w:tcW w:type="dxa" w:w="1296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Epic</w:t>
            </w:r>
          </w:p>
        </w:tc>
        <w:tc>
          <w:tcPr>
            <w:tcW w:type="dxa" w:w="864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Story No.</w:t>
            </w:r>
          </w:p>
        </w:tc>
        <w:tc>
          <w:tcPr>
            <w:tcW w:type="dxa" w:w="288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User Story / Task</w:t>
            </w:r>
          </w:p>
        </w:tc>
        <w:tc>
          <w:tcPr>
            <w:tcW w:type="dxa" w:w="223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Criteria</w:t>
            </w:r>
          </w:p>
        </w:tc>
        <w:tc>
          <w:tcPr>
            <w:tcW w:type="dxa" w:w="79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79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Release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Reporter / End User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Incident Intake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US-01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As a reporter, I can submit an incident with the required details so that it can enter the lifecycle.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 unique incident ID is created and the incident is visible in New / Logged state.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High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Sprint 1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Reporter / End User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Status Tracking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US-02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As a reporter, I can view the current incident status and owner so that I know what is happening.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Current status, owner and last update are visible.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High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Sprint 2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Support Engineer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Assignment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US-03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As a support engineer, I can see incidents assigned to me so that I can act on them.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Assigned queue is filtered to the user and key incident details are shown.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High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Sprint 1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Support Engineer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Investigation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US-04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As a support engineer, I can update an incident with work notes and evidence.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Authorized update is timestamped and added to lifecycle history.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High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Sprint 2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Support Engineer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Resolution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US-05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As a support engineer, I can record a resolution summary so that the incident can move to resolved.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Resolution details are mandatory before Resolved status.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High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Sprint 2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Incident Manager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Triage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US-06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As an incident manager, I can set or review category, impact, urgency and priority.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Priority is visible and changes are recorded.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High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Sprint 1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Incident Manager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Routing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US-07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As an incident manager, I can assign or reassign an incident to the correct owner/queue.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Ownership changes are reflected immediately and audited.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High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Sprint 1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Incident Manager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SLA &amp; Escalation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US-08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As an incident manager, I can monitor SLA due times and receive escalation alerts.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At-risk and breached incidents are clearly identified and notifications are generated.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High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Sprint 2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Administrator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Rules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US-09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As an administrator, I can configure routing and SLA rules used by the automation.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Rules can be created/updated by authorized users and are applied to new incidents.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Medium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Sprint 3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Administrator / Auditor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Audit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US-10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As an auditor, I can review the incident history so that lifecycle decisions are traceable.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History shows who changed what and when.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Medium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Sprint 3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All Authorized Users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Search &amp; Dashboard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US-11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As an authorized user, I can search and filter incidents by status, priority, owner and date.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Results reflect selected filters and can be opened for details.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Medium</w:t>
            </w:r>
          </w:p>
        </w:tc>
        <w:tc>
          <w:tcPr>
            <w:tcW w:type="dxa" w:w="1481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Sprint 3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System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Notification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US-12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As the system, I can notify relevant users when ownership, status or SLA state changes.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Notification event is generated with incident ID and action summary.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Medium</w:t>
            </w:r>
          </w:p>
        </w:tc>
        <w:tc>
          <w:tcPr>
            <w:tcW w:type="dxa" w:w="1481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4"/>
              </w:rPr>
              <w:t>Sprint 3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08C"/>
        <w:sz w:val="16"/>
      </w:rPr>
      <w:t>Incident Life Cycle Automation  |  Gangadevi.R  |  07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