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SOLUTION REQUIREMENTS</w:t>
      </w:r>
    </w:p>
    <w:p>
      <w:pPr>
        <w:pStyle w:val="Title"/>
        <w:spacing w:after="60"/>
      </w:pPr>
      <w:r>
        <w:t>Solution Requirements</w:t>
      </w:r>
    </w:p>
    <w:p>
      <w:pPr>
        <w:spacing w:after="180"/>
      </w:pPr>
      <w:r>
        <w:rPr>
          <w:i/>
          <w:color w:val="60717E"/>
          <w:sz w:val="20"/>
        </w:rPr>
        <w:t>Functional &amp; non-functional requirements for the incident automation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pPr>
        <w:pStyle w:val="Heading1"/>
      </w:pPr>
      <w:r>
        <w:t>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 No.</w:t>
            </w:r>
          </w:p>
        </w:tc>
        <w:tc>
          <w:tcPr>
            <w:tcW w:type="dxa" w:w="208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6912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FR-01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Intake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Create an incident with title, description, source, category, impact, urgency and timestamp.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FR-02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ID &amp; Status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Generate a unique incident ID and initialize lifecycle status.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Classification &amp; Priority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Assign category and priority from captured impact/urgency and configurable rules.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FR-04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Assignment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Route incidents to the appropriate queue/owner and record ownership.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FR-05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SLA Tracking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Start the applicable SLA clock and show due time / breach state.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FR-06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Notification &amp; Escalation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Send status/assignment alerts and escalate incidents approaching or crossing SLA thresholds.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FR-07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Investigation Updates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Allow authorized users to add work notes, evidence and status updates.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FR-08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Resolution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Record resolution summary, resolution time and supporting details.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FR-09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Closure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Allow closure after resolution validation / confirmation and preserve final state.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FR-10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Lifecycle History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Maintain a chronological history of status, owner, priority and key actions.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FR-11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Dashboard &amp; Search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View open, overdue, assigned and closed incidents with filters and search.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FR-12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Role-based Access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Restrict actions and data views according to user role.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FR-13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Auditability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r>
              <w:rPr>
                <w:sz w:val="15"/>
              </w:rPr>
              <w:t>Capture key changes for traceability.</w:t>
            </w:r>
          </w:p>
        </w:tc>
      </w:tr>
    </w:tbl>
    <w:p>
      <w:pPr>
        <w:spacing w:after="0"/>
      </w:pPr>
    </w:p>
    <w:p>
      <w:pPr>
        <w:pStyle w:val="Heading1"/>
      </w:pPr>
      <w:r>
        <w:t>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93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 No.</w:t>
            </w:r>
          </w:p>
        </w:tc>
        <w:tc>
          <w:tcPr>
            <w:tcW w:type="dxa" w:w="180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Quality Attribute</w:t>
            </w:r>
          </w:p>
        </w:tc>
        <w:tc>
          <w:tcPr>
            <w:tcW w:type="dxa" w:w="705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NFR-01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Usability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Common incident actions should be understandable without extensive training.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NFR-02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Security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Use authenticated access, role-based authorization and secure handling of incident data.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NFR-03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Reliability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Lifecycle updates and audit events should remain consistent when an operation succeeds.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NFR-04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Performance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Common views and incident actions should respond within an acceptable interactive delay under expected project load.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NFR-05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Availability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The application should be deployable so users can access the incident workflow whenever the operating environment is available.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NFR-06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Maintainability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Business rules such as priority, routing and SLA thresholds should be easy to update.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NFR-07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Auditability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Lifecycle transitions and key changes should be traceable by user, time and action.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