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EMPATHY MAP CANVAS</w:t>
      </w:r>
    </w:p>
    <w:p>
      <w:pPr>
        <w:pStyle w:val="Title"/>
        <w:spacing w:after="40"/>
      </w:pPr>
      <w:r>
        <w:t>Empathy Map Canvas</w:t>
      </w:r>
    </w:p>
    <w:p>
      <w:pPr>
        <w:spacing w:after="40"/>
      </w:pPr>
      <w:r>
        <w:rPr>
          <w:i/>
          <w:color w:val="60717E"/>
          <w:sz w:val="20"/>
        </w:rPr>
        <w:t>Empathize &amp; Discover - understanding the people who report, manage and resolve incidents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  <w:spacing w:after="40"/>
      </w:pPr>
      <w:r>
        <w:t>1. Target users</w:t>
      </w:r>
    </w:p>
    <w:p>
      <w:pPr>
        <w:spacing w:after="40"/>
      </w:pPr>
      <w:r>
        <w:t>The primary users are reporters/end users, support engineers, incident managers and administrators/auditors, each needing faster hand-off, visibility, control and traceability.</w:t>
      </w:r>
    </w:p>
    <w:p>
      <w:pPr>
        <w:pStyle w:val="Heading1"/>
        <w:spacing w:after="40"/>
      </w:pPr>
      <w:r>
        <w:t>2. Empathy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9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Project Insight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SAYS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“I need to report this quickly.”</w:t>
              <w:br/>
              <w:t>“Who is handling my incident?”</w:t>
              <w:br/>
              <w:t>“Has the SLA been crossed?”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THINKS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The incident may be urgent.</w:t>
              <w:br/>
              <w:t>Manual updates can be missed.</w:t>
              <w:br/>
              <w:t>I need trustworthy status information.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DOES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Reports incidents.</w:t>
              <w:br/>
              <w:t>Checks status.</w:t>
              <w:br/>
              <w:t>Adds updates/evidence.</w:t>
              <w:br/>
              <w:t>Reassigns or escalates when needed.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FEELS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color w:val="253746"/>
                <w:sz w:val="17"/>
              </w:rPr>
              <w:t>Frustrated when incidents are lost.</w:t>
              <w:br/>
              <w:t>Anxious when response is slow.</w:t>
              <w:br/>
              <w:t>Confident when ownership and status are clear.</w:t>
            </w:r>
          </w:p>
        </w:tc>
      </w:tr>
    </w:tbl>
    <w:p>
      <w:pPr>
        <w:spacing w:after="40"/>
      </w:pPr>
    </w:p>
    <w:p>
      <w:pPr>
        <w:pStyle w:val="Heading1"/>
        <w:spacing w:after="40"/>
      </w:pPr>
      <w:r>
        <w:t>3. Pains</w:t>
      </w:r>
    </w:p>
    <w:p>
      <w:pPr>
        <w:pStyle w:val="ListBullet"/>
        <w:spacing w:after="40"/>
      </w:pPr>
      <w:r>
        <w:t>Incidents can be logged through inconsistent channels or with incomplete details.</w:t>
      </w:r>
    </w:p>
    <w:p>
      <w:pPr>
        <w:pStyle w:val="ListBullet"/>
        <w:spacing w:after="40"/>
      </w:pPr>
      <w:r>
        <w:t>Manual assignment and follow-up can delay response.</w:t>
      </w:r>
    </w:p>
    <w:p>
      <w:pPr>
        <w:pStyle w:val="ListBullet"/>
        <w:spacing w:after="40"/>
      </w:pPr>
      <w:r>
        <w:t>SLA breaches may be noticed too late.</w:t>
      </w:r>
    </w:p>
    <w:p>
      <w:pPr>
        <w:pStyle w:val="ListBullet"/>
        <w:spacing w:after="40"/>
      </w:pPr>
      <w:r>
        <w:t>Status history and audit evidence may be fragmented.</w:t>
      </w:r>
    </w:p>
    <w:p>
      <w:r>
        <w:t>Gains: single source of truth; automatic routing and escalation; clear ownership and status; audit-ready lifecycle history.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