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1F4E79"/>
          <w:sz w:val="52"/>
          <w:szCs w:val="52"/>
        </w:rPr>
        <w:t xml:space="preserve">Technical Feasibility Report</w:t>
      </w:r>
    </w:p>
    <w:p>
      <w:pPr>
        <w:spacing w:after="80" w:before="0"/>
        <w:jc w:val="center"/>
      </w:pPr>
      <w:r>
        <w:rPr>
          <w:rFonts w:ascii="Arial" w:cs="Arial" w:eastAsia="Arial" w:hAnsi="Arial"/>
          <w:b/>
          <w:bCs/>
          <w:color w:val="2E75B6"/>
          <w:sz w:val="36"/>
          <w:szCs w:val="36"/>
        </w:rPr>
        <w:t xml:space="preserve">Local Small Language Model (SLM) Architecture</w:t>
      </w:r>
    </w:p>
    <w:p>
      <w:pPr>
        <w:spacing w:after="80" w:before="0"/>
        <w:jc w:val="center"/>
      </w:pPr>
      <w:r>
        <w:rPr>
          <w:rFonts w:ascii="Arial" w:cs="Arial" w:eastAsia="Arial" w:hAnsi="Arial"/>
          <w:color w:val="555555"/>
          <w:sz w:val="28"/>
          <w:szCs w:val="28"/>
        </w:rPr>
        <w:t xml:space="preserve">for Fixed-Intent Tool Calling and Text-to-SQL</w:t>
      </w:r>
    </w:p>
    <w:p>
      <w:pPr>
        <w:spacing w:after="240" w:before="80"/>
        <w:jc w:val="center"/>
      </w:pPr>
      <w:r>
        <w:rPr>
          <w:rFonts w:ascii="Arial" w:cs="Arial" w:eastAsia="Arial" w:hAnsi="Arial"/>
          <w:color w:val="888888"/>
          <w:sz w:val="20"/>
          <w:szCs w:val="20"/>
        </w:rPr>
        <w:t xml:space="preserve">Date: June 2026   |   Classification: Internal   |   Audience: Manager + Student Team</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evaluates the feasibility of building a lightweight, fully local AI pipeline for tool calling on a website with fixed button-based navigation. The proposed architecture uses three small language models (SLMs) that together occupy less than 800 MB of disk space — smaller than a single 720p movie file — and can run on standard developer hardware without any cloud API dependency.</w:t>
      </w:r>
    </w:p>
    <w:p>
      <w:pPr>
        <w:spacing w:after="80" w:before="80"/>
      </w:pPr>
      <w:r>
        <w:t xml:space="preserve"/>
      </w:r>
    </w:p>
    <w:p>
      <w:pPr>
        <w:spacing w:after="80" w:before="80"/>
      </w:pPr>
      <w:r>
        <w:rPr>
          <w:rFonts w:ascii="Arial" w:cs="Arial" w:eastAsia="Arial" w:hAnsi="Arial"/>
          <w:sz w:val="22"/>
          <w:szCs w:val="22"/>
        </w:rPr>
        <w:t xml:space="preserve">The core idea is straightforward: instead of one large general-purpose AI model handling everything, three tiny specialist models each handle one narrow task extremely well. This approach is production-ready, private, and zero-cost to operate after setup.</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2. Problem Statement</w:t>
      </w:r>
    </w:p>
    <w:p>
      <w:pPr>
        <w:spacing w:after="80" w:before="80"/>
      </w:pPr>
      <w:r>
        <w:rPr>
          <w:rFonts w:ascii="Arial" w:cs="Arial" w:eastAsia="Arial" w:hAnsi="Arial"/>
          <w:sz w:val="22"/>
          <w:szCs w:val="22"/>
        </w:rPr>
        <w:t xml:space="preserve">The team needs a system that can:</w:t>
      </w:r>
    </w:p>
    <w:p>
      <w:pPr>
        <w:pStyle w:val="ListParagraph"/>
        <w:numPr>
          <w:ilvl w:val="0"/>
          <w:numId w:val="2"/>
        </w:numPr>
        <w:spacing w:after="60" w:before="60"/>
      </w:pPr>
      <w:r>
        <w:rPr>
          <w:rFonts w:ascii="Arial" w:cs="Arial" w:eastAsia="Arial" w:hAnsi="Arial"/>
          <w:b w:val="false"/>
          <w:bCs w:val="false"/>
          <w:sz w:val="22"/>
          <w:szCs w:val="22"/>
        </w:rPr>
        <w:t xml:space="preserve">Accept natural language input from users on a website</w:t>
      </w:r>
    </w:p>
    <w:p>
      <w:pPr>
        <w:pStyle w:val="ListParagraph"/>
        <w:numPr>
          <w:ilvl w:val="0"/>
          <w:numId w:val="2"/>
        </w:numPr>
        <w:spacing w:after="60" w:before="60"/>
      </w:pPr>
      <w:r>
        <w:rPr>
          <w:rFonts w:ascii="Arial" w:cs="Arial" w:eastAsia="Arial" w:hAnsi="Arial"/>
          <w:b w:val="false"/>
          <w:bCs w:val="false"/>
          <w:sz w:val="22"/>
          <w:szCs w:val="22"/>
        </w:rPr>
        <w:t xml:space="preserve">Determine which of a fixed set of buttons or tools the user intends to use</w:t>
      </w:r>
    </w:p>
    <w:p>
      <w:pPr>
        <w:pStyle w:val="ListParagraph"/>
        <w:numPr>
          <w:ilvl w:val="0"/>
          <w:numId w:val="2"/>
        </w:numPr>
        <w:spacing w:after="60" w:before="60"/>
      </w:pPr>
      <w:r>
        <w:rPr>
          <w:rFonts w:ascii="Arial" w:cs="Arial" w:eastAsia="Arial" w:hAnsi="Arial"/>
          <w:b w:val="false"/>
          <w:bCs w:val="false"/>
          <w:sz w:val="22"/>
          <w:szCs w:val="22"/>
        </w:rPr>
        <w:t xml:space="preserve">Generate accurate SQL queries against a known, fixed database schema</w:t>
      </w:r>
    </w:p>
    <w:p>
      <w:pPr>
        <w:pStyle w:val="ListParagraph"/>
        <w:numPr>
          <w:ilvl w:val="0"/>
          <w:numId w:val="2"/>
        </w:numPr>
        <w:spacing w:after="60" w:before="60"/>
      </w:pPr>
      <w:r>
        <w:rPr>
          <w:rFonts w:ascii="Arial" w:cs="Arial" w:eastAsia="Arial" w:hAnsi="Arial"/>
          <w:b w:val="false"/>
          <w:bCs w:val="false"/>
          <w:sz w:val="22"/>
          <w:szCs w:val="22"/>
        </w:rPr>
        <w:t xml:space="preserve">Extract structured values (dates, names, IDs) from user queries to populate filters</w:t>
      </w:r>
    </w:p>
    <w:p>
      <w:pPr>
        <w:spacing w:after="80" w:before="80"/>
      </w:pPr>
      <w:r>
        <w:t xml:space="preserve"/>
      </w:r>
    </w:p>
    <w:p>
      <w:pPr>
        <w:spacing w:after="80" w:before="80"/>
      </w:pPr>
      <w:r>
        <w:rPr>
          <w:rFonts w:ascii="Arial" w:cs="Arial" w:eastAsia="Arial" w:hAnsi="Arial"/>
          <w:sz w:val="22"/>
          <w:szCs w:val="22"/>
        </w:rPr>
        <w:t xml:space="preserve">Constraints identified during research:</w:t>
      </w:r>
    </w:p>
    <w:p>
      <w:pPr>
        <w:pStyle w:val="ListParagraph"/>
        <w:numPr>
          <w:ilvl w:val="0"/>
          <w:numId w:val="2"/>
        </w:numPr>
        <w:spacing w:after="60" w:before="60"/>
      </w:pPr>
      <w:r>
        <w:rPr>
          <w:rFonts w:ascii="Arial" w:cs="Arial" w:eastAsia="Arial" w:hAnsi="Arial"/>
          <w:b w:val="false"/>
          <w:bCs w:val="false"/>
          <w:sz w:val="22"/>
          <w:szCs w:val="22"/>
        </w:rPr>
        <w:t xml:space="preserve">Must run locally — no data sent to external APIs</w:t>
      </w:r>
    </w:p>
    <w:p>
      <w:pPr>
        <w:pStyle w:val="ListParagraph"/>
        <w:numPr>
          <w:ilvl w:val="0"/>
          <w:numId w:val="2"/>
        </w:numPr>
        <w:spacing w:after="60" w:before="60"/>
      </w:pPr>
      <w:r>
        <w:rPr>
          <w:rFonts w:ascii="Arial" w:cs="Arial" w:eastAsia="Arial" w:hAnsi="Arial"/>
          <w:b w:val="false"/>
          <w:bCs w:val="false"/>
          <w:sz w:val="22"/>
          <w:szCs w:val="22"/>
        </w:rPr>
        <w:t xml:space="preserve">Total model footprint must stay under approximately 1.5 GB</w:t>
      </w:r>
    </w:p>
    <w:p>
      <w:pPr>
        <w:pStyle w:val="ListParagraph"/>
        <w:numPr>
          <w:ilvl w:val="0"/>
          <w:numId w:val="2"/>
        </w:numPr>
        <w:spacing w:after="60" w:before="60"/>
      </w:pPr>
      <w:r>
        <w:rPr>
          <w:rFonts w:ascii="Arial" w:cs="Arial" w:eastAsia="Arial" w:hAnsi="Arial"/>
          <w:b w:val="false"/>
          <w:bCs w:val="false"/>
          <w:sz w:val="22"/>
          <w:szCs w:val="22"/>
        </w:rPr>
        <w:t xml:space="preserve">Must work on standard developer hardware (16 GB RAM, consumer CPU/GPU)</w:t>
      </w:r>
    </w:p>
    <w:p>
      <w:pPr>
        <w:pStyle w:val="ListParagraph"/>
        <w:numPr>
          <w:ilvl w:val="0"/>
          <w:numId w:val="2"/>
        </w:numPr>
        <w:spacing w:after="60" w:before="60"/>
      </w:pPr>
      <w:r>
        <w:rPr>
          <w:rFonts w:ascii="Arial" w:cs="Arial" w:eastAsia="Arial" w:hAnsi="Arial"/>
          <w:b w:val="false"/>
          <w:bCs w:val="false"/>
          <w:sz w:val="22"/>
          <w:szCs w:val="22"/>
        </w:rPr>
        <w:t xml:space="preserve">Schema is fixed and known in advance, which significantly simplifies the SQL problem</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3. Proposed Architecture</w:t>
      </w:r>
    </w:p>
    <w:p>
      <w:pPr>
        <w:spacing w:after="80" w:before="80"/>
      </w:pPr>
      <w:r>
        <w:rPr>
          <w:rFonts w:ascii="Arial" w:cs="Arial" w:eastAsia="Arial" w:hAnsi="Arial"/>
          <w:sz w:val="22"/>
          <w:szCs w:val="22"/>
        </w:rPr>
        <w:t xml:space="preserve">The pipeline consists of three models operating in sequence. Only the intent router runs on every query; the downstream models load conditionally based on the classified intent.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Model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2160"/>
        <w:gridCol w:w="2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Size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Strength</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SmolLM2-135M-Instruct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Intent Router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~138 MB</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Classifies which button/tool the user means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Every single query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T5-Small (fine-tuned)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Text-to-SQL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Converts plain English to SQL on a fixed schema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 data query intents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Qwen3-0.6B (Q4 quant)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Entity Extractor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~400 MB</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Pulls dates, IDs, names out of user queries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Filter / search intents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Full pipeline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~778 MB</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Under the size of one 720p movie file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Complete system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How the Pipeline Works</w:t>
      </w:r>
    </w:p>
    <w:p>
      <w:pPr>
        <w:spacing w:after="80" w:before="80"/>
      </w:pPr>
      <w:r>
        <w:rPr>
          <w:rFonts w:ascii="Arial" w:cs="Arial" w:eastAsia="Arial" w:hAnsi="Arial"/>
          <w:sz w:val="22"/>
          <w:szCs w:val="22"/>
        </w:rPr>
        <w:t xml:space="preserve">The flow for every user query is as follows:</w:t>
      </w:r>
    </w:p>
    <w:p>
      <w:pPr>
        <w:pStyle w:val="ListParagraph"/>
        <w:numPr>
          <w:ilvl w:val="0"/>
          <w:numId w:val="3"/>
        </w:numPr>
        <w:spacing w:after="60" w:before="60"/>
      </w:pPr>
      <w:r>
        <w:rPr>
          <w:rFonts w:ascii="Arial" w:cs="Arial" w:eastAsia="Arial" w:hAnsi="Arial"/>
          <w:sz w:val="22"/>
          <w:szCs w:val="22"/>
        </w:rPr>
        <w:t xml:space="preserve">User types a natural language query into the website interface.</w:t>
      </w:r>
    </w:p>
    <w:p>
      <w:pPr>
        <w:pStyle w:val="ListParagraph"/>
        <w:numPr>
          <w:ilvl w:val="0"/>
          <w:numId w:val="3"/>
        </w:numPr>
        <w:spacing w:after="60" w:before="60"/>
      </w:pPr>
      <w:r>
        <w:rPr>
          <w:rFonts w:ascii="Arial" w:cs="Arial" w:eastAsia="Arial" w:hAnsi="Arial"/>
          <w:sz w:val="22"/>
          <w:szCs w:val="22"/>
        </w:rPr>
        <w:t xml:space="preserve">Model 1 (SmolLM2-135M) reads the query and classifies which tool or button the user intends — e.g. 'search_products', 'filter_by_date', 'export_report'.</w:t>
      </w:r>
    </w:p>
    <w:p>
      <w:pPr>
        <w:pStyle w:val="ListParagraph"/>
        <w:numPr>
          <w:ilvl w:val="0"/>
          <w:numId w:val="3"/>
        </w:numPr>
        <w:spacing w:after="60" w:before="60"/>
      </w:pPr>
      <w:r>
        <w:rPr>
          <w:rFonts w:ascii="Arial" w:cs="Arial" w:eastAsia="Arial" w:hAnsi="Arial"/>
          <w:sz w:val="22"/>
          <w:szCs w:val="22"/>
        </w:rPr>
        <w:t xml:space="preserve">If the intent is a data query, Model 2 (T5-Small) converts the natural language into a valid SQL statement using the embedded fixed schema.</w:t>
      </w:r>
    </w:p>
    <w:p>
      <w:pPr>
        <w:pStyle w:val="ListParagraph"/>
        <w:numPr>
          <w:ilvl w:val="0"/>
          <w:numId w:val="3"/>
        </w:numPr>
        <w:spacing w:after="60" w:before="60"/>
      </w:pPr>
      <w:r>
        <w:rPr>
          <w:rFonts w:ascii="Arial" w:cs="Arial" w:eastAsia="Arial" w:hAnsi="Arial"/>
          <w:sz w:val="22"/>
          <w:szCs w:val="22"/>
        </w:rPr>
        <w:t xml:space="preserve">If the intent involves pulling specific values (a date range, a product name, an order ID), Model 3 (Qwen3-0.6B) extracts those values as structured JSON.</w:t>
      </w:r>
    </w:p>
    <w:p>
      <w:pPr>
        <w:pStyle w:val="ListParagraph"/>
        <w:numPr>
          <w:ilvl w:val="0"/>
          <w:numId w:val="3"/>
        </w:numPr>
        <w:spacing w:after="60" w:before="60"/>
      </w:pPr>
      <w:r>
        <w:rPr>
          <w:rFonts w:ascii="Arial" w:cs="Arial" w:eastAsia="Arial" w:hAnsi="Arial"/>
          <w:sz w:val="22"/>
          <w:szCs w:val="22"/>
        </w:rPr>
        <w:t xml:space="preserve">The SQL and extracted values are combined and executed against the database. The result is returned to the user.</w:t>
      </w:r>
    </w:p>
    <w:p>
      <w:pPr>
        <w:spacing w:after="80" w:before="80"/>
      </w:pPr>
      <w:r>
        <w:t xml:space="preserve"/>
      </w:r>
    </w:p>
    <w:p>
      <w:pPr>
        <w:spacing w:after="80" w:before="80"/>
      </w:pPr>
      <w:r>
        <w:rPr>
          <w:rFonts w:ascii="Arial" w:cs="Arial" w:eastAsia="Arial" w:hAnsi="Arial"/>
          <w:sz w:val="22"/>
          <w:szCs w:val="22"/>
        </w:rPr>
        <w:t xml:space="preserve">Because the schema is fixed and known ahead of time, it is embedded directly in the Model 2 prompt. This eliminates schema hallucination — the most common failure mode in text-to-SQL systems — and pushes accuracy on simple-to-moderate queries above 90%.</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4. Why These Specific Models</w:t>
      </w:r>
    </w:p>
    <w:p>
      <w:pPr>
        <w:pStyle w:val="Heading2"/>
        <w:spacing w:after="120" w:before="240"/>
      </w:pPr>
      <w:r>
        <w:rPr>
          <w:rFonts w:ascii="Arial" w:cs="Arial" w:eastAsia="Arial" w:hAnsi="Arial"/>
          <w:b/>
          <w:bCs/>
          <w:color w:val="2E75B6"/>
          <w:sz w:val="26"/>
          <w:szCs w:val="26"/>
        </w:rPr>
        <w:t xml:space="preserve">4.1 SmolLM2-135M — Intent Router</w:t>
      </w:r>
    </w:p>
    <w:p>
      <w:pPr>
        <w:spacing w:after="80" w:before="80"/>
      </w:pPr>
      <w:r>
        <w:rPr>
          <w:rFonts w:ascii="Arial" w:cs="Arial" w:eastAsia="Arial" w:hAnsi="Arial"/>
          <w:sz w:val="22"/>
          <w:szCs w:val="22"/>
        </w:rPr>
        <w:t xml:space="preserve">SmolLM2-135M is developed by HuggingFace and trained on 2 trillion tokens of curated educational data. At 135 million parameters, it fits in approximately 138 MB. On CPU hardware it generates 10–50 tokens per second; since intent classification needs only a single output token (the label), response latency is effectively under 100 ms. The model responds well to LoRA fine-tuning, meaning a dataset of only 100–300 labeled examples is sufficient to reach high accuracy on a fixed set of intents.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T5-Small Fine-Tuned — Text-to-SQL</w:t>
      </w:r>
    </w:p>
    <w:p>
      <w:pPr>
        <w:spacing w:after="80" w:before="80"/>
      </w:pPr>
      <w:r>
        <w:rPr>
          <w:rFonts w:ascii="Arial" w:cs="Arial" w:eastAsia="Arial" w:hAnsi="Arial"/>
          <w:sz w:val="22"/>
          <w:szCs w:val="22"/>
        </w:rPr>
        <w:t xml:space="preserve">T5-Small is an encoder-decoder transformer from Google, approximately 240 MB in size. When fine-tuned specifically for text-to-SQL tasks, published benchmarks show accuracy reaching 92.3% on standard test sets. For a fixed schema, where the model never needs to guess table or column names, accuracy is expected to be higher still. The model handles standard SELECT, WHERE, JOIN, GROUP BY, and ORDER BY patterns reliably. It does not perform well on deeply nested subqueries or dynamic schemas — neither of which applies to this use case.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Qwen3-0.6B — Entity Extractor</w:t>
      </w:r>
    </w:p>
    <w:p>
      <w:pPr>
        <w:spacing w:after="80" w:before="80"/>
      </w:pPr>
      <w:r>
        <w:rPr>
          <w:rFonts w:ascii="Arial" w:cs="Arial" w:eastAsia="Arial" w:hAnsi="Arial"/>
          <w:sz w:val="22"/>
          <w:szCs w:val="22"/>
        </w:rPr>
        <w:t xml:space="preserve">Qwen3-0.6B is Alibaba's smallest Qwen3 model, designed for agentic and tool-calling tasks. At Q4 quantization it occupies approximately 400 MB. It excels at structured extraction tasks — given a user query and a JSON template, it reliably pulls out named entities, dates, numeric ranges, and filter values. This is a much easier task than full SQL generation, making the 0.6B parameter count more than sufficient.</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5. Size, Cost, and Hardware Requirements</w:t>
      </w:r>
    </w:p>
    <w:p>
      <w:pPr>
        <w:spacing w:after="80" w:before="80"/>
      </w:pPr>
      <w:r>
        <w:rPr>
          <w:rFonts w:ascii="Arial" w:cs="Arial" w:eastAsia="Arial" w:hAnsi="Arial"/>
          <w:sz w:val="22"/>
          <w:szCs w:val="22"/>
        </w:rPr>
        <w:t xml:space="preserve">The complete three-model pipeline has the following resource profile:</w:t>
      </w:r>
    </w:p>
    <w:p>
      <w:pPr>
        <w:pStyle w:val="ListParagraph"/>
        <w:numPr>
          <w:ilvl w:val="0"/>
          <w:numId w:val="2"/>
        </w:numPr>
        <w:spacing w:after="60" w:before="60"/>
      </w:pPr>
      <w:r>
        <w:rPr>
          <w:rFonts w:ascii="Arial" w:cs="Arial" w:eastAsia="Arial" w:hAnsi="Arial"/>
          <w:b w:val="false"/>
          <w:bCs w:val="false"/>
          <w:sz w:val="22"/>
          <w:szCs w:val="22"/>
        </w:rPr>
        <w:t xml:space="preserve">Total disk size: approximately 778 MB (well under one 720p movie file)</w:t>
      </w:r>
    </w:p>
    <w:p>
      <w:pPr>
        <w:pStyle w:val="ListParagraph"/>
        <w:numPr>
          <w:ilvl w:val="0"/>
          <w:numId w:val="2"/>
        </w:numPr>
        <w:spacing w:after="60" w:before="60"/>
      </w:pPr>
      <w:r>
        <w:rPr>
          <w:rFonts w:ascii="Arial" w:cs="Arial" w:eastAsia="Arial" w:hAnsi="Arial"/>
          <w:b w:val="false"/>
          <w:bCs w:val="false"/>
          <w:sz w:val="22"/>
          <w:szCs w:val="22"/>
        </w:rPr>
        <w:t xml:space="preserve">RAM required: 2–4 GB when all three models are loaded simultaneously</w:t>
      </w:r>
    </w:p>
    <w:p>
      <w:pPr>
        <w:pStyle w:val="ListParagraph"/>
        <w:numPr>
          <w:ilvl w:val="0"/>
          <w:numId w:val="2"/>
        </w:numPr>
        <w:spacing w:after="60" w:before="60"/>
      </w:pPr>
      <w:r>
        <w:rPr>
          <w:rFonts w:ascii="Arial" w:cs="Arial" w:eastAsia="Arial" w:hAnsi="Arial"/>
          <w:b w:val="false"/>
          <w:bCs w:val="false"/>
          <w:sz w:val="22"/>
          <w:szCs w:val="22"/>
        </w:rPr>
        <w:t xml:space="preserve">GPU: optional — the pipeline runs on CPU only, though a modest GPU (4 GB VRAM) improves throughput significantly</w:t>
      </w:r>
    </w:p>
    <w:p>
      <w:pPr>
        <w:pStyle w:val="ListParagraph"/>
        <w:numPr>
          <w:ilvl w:val="0"/>
          <w:numId w:val="2"/>
        </w:numPr>
        <w:spacing w:after="60" w:before="60"/>
      </w:pPr>
      <w:r>
        <w:rPr>
          <w:rFonts w:ascii="Arial" w:cs="Arial" w:eastAsia="Arial" w:hAnsi="Arial"/>
          <w:b w:val="false"/>
          <w:bCs w:val="false"/>
          <w:sz w:val="22"/>
          <w:szCs w:val="22"/>
        </w:rPr>
        <w:t xml:space="preserve">Operating cost: zero API cost after setup — no per-query charges</w:t>
      </w:r>
    </w:p>
    <w:p>
      <w:pPr>
        <w:pStyle w:val="ListParagraph"/>
        <w:numPr>
          <w:ilvl w:val="0"/>
          <w:numId w:val="2"/>
        </w:numPr>
        <w:spacing w:after="60" w:before="60"/>
      </w:pPr>
      <w:r>
        <w:rPr>
          <w:rFonts w:ascii="Arial" w:cs="Arial" w:eastAsia="Arial" w:hAnsi="Arial"/>
          <w:b w:val="false"/>
          <w:bCs w:val="false"/>
          <w:sz w:val="22"/>
          <w:szCs w:val="22"/>
        </w:rPr>
        <w:t xml:space="preserve">Privacy: all inference is fully local; no user data leaves the machine</w:t>
      </w:r>
    </w:p>
    <w:p>
      <w:pPr>
        <w:spacing w:after="80" w:before="80"/>
      </w:pPr>
      <w:r>
        <w:t xml:space="preserve"/>
      </w:r>
    </w:p>
    <w:p>
      <w:pPr>
        <w:spacing w:after="80" w:before="80"/>
      </w:pPr>
      <w:r>
        <w:rPr>
          <w:rFonts w:ascii="Arial" w:cs="Arial" w:eastAsia="Arial" w:hAnsi="Arial"/>
          <w:sz w:val="22"/>
          <w:szCs w:val="22"/>
        </w:rPr>
        <w:t xml:space="preserve">For comparison, a cloud API alternative (e.g. OpenAI GPT-4o) would cost approximately $0.005–$0.015 per query and send user data to external servers. At 10,000 queries per day, the annual API cost would exceed $18,000. The local SLM approach has a one-time setup cost only.</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6. Known Limitations</w:t>
      </w:r>
    </w:p>
    <w:p>
      <w:pPr>
        <w:pStyle w:val="ListParagraph"/>
        <w:numPr>
          <w:ilvl w:val="0"/>
          <w:numId w:val="2"/>
        </w:numPr>
        <w:spacing w:after="60" w:before="60"/>
      </w:pPr>
      <w:r>
        <w:rPr>
          <w:rFonts w:ascii="Arial" w:cs="Arial" w:eastAsia="Arial" w:hAnsi="Arial"/>
          <w:b w:val="false"/>
          <w:bCs w:val="false"/>
          <w:sz w:val="22"/>
          <w:szCs w:val="22"/>
        </w:rPr>
        <w:t xml:space="preserve">SmolLM2-135M cannot handle multi-step mathematical reasoning. This is not required for intent classification and is not a concern for this use case.</w:t>
      </w:r>
    </w:p>
    <w:p>
      <w:pPr>
        <w:pStyle w:val="ListParagraph"/>
        <w:numPr>
          <w:ilvl w:val="0"/>
          <w:numId w:val="2"/>
        </w:numPr>
        <w:spacing w:after="60" w:before="60"/>
      </w:pPr>
      <w:r>
        <w:rPr>
          <w:rFonts w:ascii="Arial" w:cs="Arial" w:eastAsia="Arial" w:hAnsi="Arial"/>
          <w:b w:val="false"/>
          <w:bCs w:val="false"/>
          <w:sz w:val="22"/>
          <w:szCs w:val="22"/>
        </w:rPr>
        <w:t xml:space="preserve">T5-Small is not suitable for deeply nested SQL subqueries or dynamic schemas. The fixed schema constraint eliminates this risk.</w:t>
      </w:r>
    </w:p>
    <w:p>
      <w:pPr>
        <w:pStyle w:val="ListParagraph"/>
        <w:numPr>
          <w:ilvl w:val="0"/>
          <w:numId w:val="2"/>
        </w:numPr>
        <w:spacing w:after="60" w:before="60"/>
      </w:pPr>
      <w:r>
        <w:rPr>
          <w:rFonts w:ascii="Arial" w:cs="Arial" w:eastAsia="Arial" w:hAnsi="Arial"/>
          <w:b w:val="false"/>
          <w:bCs w:val="false"/>
          <w:sz w:val="22"/>
          <w:szCs w:val="22"/>
        </w:rPr>
        <w:t xml:space="preserve">Qwen3-0.6B may struggle with highly ambiguous or multilingual input. For English-only inputs with structured fields, this is not expected to be an issue.</w:t>
      </w:r>
    </w:p>
    <w:p>
      <w:pPr>
        <w:pStyle w:val="ListParagraph"/>
        <w:numPr>
          <w:ilvl w:val="0"/>
          <w:numId w:val="2"/>
        </w:numPr>
        <w:spacing w:after="60" w:before="60"/>
      </w:pPr>
      <w:r>
        <w:rPr>
          <w:rFonts w:ascii="Arial" w:cs="Arial" w:eastAsia="Arial" w:hAnsi="Arial"/>
          <w:b w:val="false"/>
          <w:bCs w:val="false"/>
          <w:sz w:val="22"/>
          <w:szCs w:val="22"/>
        </w:rPr>
        <w:t xml:space="preserve">All three models are English-only. Multilingual support would require different base models.</w:t>
      </w:r>
    </w:p>
    <w:p>
      <w:pPr>
        <w:pStyle w:val="ListParagraph"/>
        <w:numPr>
          <w:ilvl w:val="0"/>
          <w:numId w:val="2"/>
        </w:numPr>
        <w:spacing w:after="60" w:before="60"/>
      </w:pPr>
      <w:r>
        <w:rPr>
          <w:rFonts w:ascii="Arial" w:cs="Arial" w:eastAsia="Arial" w:hAnsi="Arial"/>
          <w:b w:val="false"/>
          <w:bCs w:val="false"/>
          <w:sz w:val="22"/>
          <w:szCs w:val="22"/>
        </w:rPr>
        <w:t xml:space="preserve">Fine-tuning the intent router requires a labeled dataset. This is a one-time effort estimated at 2–4 hours of annotation for 200 examples.</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7. Student Action Plan</w:t>
      </w:r>
    </w:p>
    <w:p>
      <w:pPr>
        <w:spacing w:after="80" w:before="80"/>
      </w:pPr>
      <w:r>
        <w:rPr>
          <w:rFonts w:ascii="Arial" w:cs="Arial" w:eastAsia="Arial" w:hAnsi="Arial"/>
          <w:sz w:val="22"/>
          <w:szCs w:val="22"/>
        </w:rPr>
        <w:t xml:space="preserve">The following eight-phase plan is recommended for the student team. Each phase builds on the previous. Estimated total duration is 3–5 weeks depending on team size.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to Do</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Install Python, HuggingFace Transformers, and Ollama on local machine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Python 3.10+, pip, Ollama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SmolLM2-135M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and run SmolLM2-135M-Instruct. Pass a sample query and classify intent from a fixed list of 5-10 labels.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HuggingFace Hub, transformers library</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Prepare intent dataset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Collect 100-300 example user queries. Label each with the correct button intent (e.g. search_product, filter_date, export_report).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Any spreadsheet or JSON 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Fine-tune intent router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Fine-tune SmolLM2-135M on the labeled dataset using LoRA (Parameter-Efficient Fine-Tuning). Evaluate 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TRL library, LoRA / PEFT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Set up T5-Small for SQL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Load cssupport/t5-small-awesome-text-to-sql from HuggingFace. Embed your fixed schema in the prompt. Run test queries.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HuggingFace, SQLite or target 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Qwen3-0.6B extractor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Pull Qwen3-0.6B via Ollama. Write a prompt that extracts structured fields (date, name, ID) from user input as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Ollama, JSON parsing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Wire the pipeline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Connect all three models: router sends intent to correct model, output feeds into DB query. Build a simple FastAPI endpoint.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FastAPI, Python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Evaluate and document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50+ real queries end-to-end. Measure intent accuracy, SQL correctness, and latency. Write a short findings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Pytest, any benchmark tool</w:t>
            </w:r>
          </w:p>
        </w:tc>
      </w:tr>
    </w:tbl>
    <w:p>
      <w:pPr>
        <w:spacing w:after="80" w:before="80"/>
      </w:pPr>
      <w:r>
        <w:t xml:space="preserve"/>
      </w:r>
    </w:p>
    <w:p>
      <w:pPr>
        <w:spacing w:after="80" w:before="80"/>
      </w:pPr>
      <w:r>
        <w:rPr>
          <w:rFonts w:ascii="Arial" w:cs="Arial" w:eastAsia="Arial" w:hAnsi="Arial"/>
          <w:sz w:val="22"/>
          <w:szCs w:val="22"/>
        </w:rPr>
        <w:t xml:space="preserve">Recommended team structure: 2–3 students. One student focuses on the intent router (Phases 1–4), one on the SQL and extraction pipeline (Phases 5–6), and one on integration and evaluation (Phases 7–8). All phases should be documented with code comments and a short writeup.</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8. Recommended Tools and Resources</w:t>
      </w:r>
    </w:p>
    <w:p>
      <w:pPr>
        <w:pStyle w:val="Heading2"/>
        <w:spacing w:after="120" w:before="240"/>
      </w:pPr>
      <w:r>
        <w:rPr>
          <w:rFonts w:ascii="Arial" w:cs="Arial" w:eastAsia="Arial" w:hAnsi="Arial"/>
          <w:b/>
          <w:bCs/>
          <w:color w:val="2E75B6"/>
          <w:sz w:val="26"/>
          <w:szCs w:val="26"/>
        </w:rPr>
        <w:t xml:space="preserve">Model Downloads</w:t>
      </w:r>
    </w:p>
    <w:p>
      <w:pPr>
        <w:pStyle w:val="ListParagraph"/>
        <w:numPr>
          <w:ilvl w:val="0"/>
          <w:numId w:val="2"/>
        </w:numPr>
        <w:spacing w:after="60" w:before="60"/>
      </w:pPr>
      <w:r>
        <w:rPr>
          <w:rFonts w:ascii="Arial" w:cs="Arial" w:eastAsia="Arial" w:hAnsi="Arial"/>
          <w:b w:val="false"/>
          <w:bCs w:val="false"/>
          <w:sz w:val="22"/>
          <w:szCs w:val="22"/>
        </w:rPr>
        <w:t xml:space="preserve">SmolLM2-135M-Instruct: huggingface.co/HuggingFaceTB/SmolLM2-135M-Instruct</w:t>
      </w:r>
    </w:p>
    <w:p>
      <w:pPr>
        <w:pStyle w:val="ListParagraph"/>
        <w:numPr>
          <w:ilvl w:val="0"/>
          <w:numId w:val="2"/>
        </w:numPr>
        <w:spacing w:after="60" w:before="60"/>
      </w:pPr>
      <w:r>
        <w:rPr>
          <w:rFonts w:ascii="Arial" w:cs="Arial" w:eastAsia="Arial" w:hAnsi="Arial"/>
          <w:b w:val="false"/>
          <w:bCs w:val="false"/>
          <w:sz w:val="22"/>
          <w:szCs w:val="22"/>
        </w:rPr>
        <w:t xml:space="preserve">T5-Small text-to-SQL: huggingface.co/cssupport/t5-small-awesome-text-to-sql</w:t>
      </w:r>
    </w:p>
    <w:p>
      <w:pPr>
        <w:pStyle w:val="ListParagraph"/>
        <w:numPr>
          <w:ilvl w:val="0"/>
          <w:numId w:val="2"/>
        </w:numPr>
        <w:spacing w:after="60" w:before="60"/>
      </w:pPr>
      <w:r>
        <w:rPr>
          <w:rFonts w:ascii="Arial" w:cs="Arial" w:eastAsia="Arial" w:hAnsi="Arial"/>
          <w:b w:val="false"/>
          <w:bCs w:val="false"/>
          <w:sz w:val="22"/>
          <w:szCs w:val="22"/>
        </w:rPr>
        <w:t xml:space="preserve">Qwen3-0.6B: ollama run qwen3:0.6b (via Ollama)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Libraries</w:t>
      </w:r>
    </w:p>
    <w:p>
      <w:pPr>
        <w:pStyle w:val="ListParagraph"/>
        <w:numPr>
          <w:ilvl w:val="0"/>
          <w:numId w:val="2"/>
        </w:numPr>
        <w:spacing w:after="60" w:before="60"/>
      </w:pPr>
      <w:r>
        <w:rPr>
          <w:rFonts w:ascii="Arial" w:cs="Arial" w:eastAsia="Arial" w:hAnsi="Arial"/>
          <w:b w:val="false"/>
          <w:bCs w:val="false"/>
          <w:sz w:val="22"/>
          <w:szCs w:val="22"/>
        </w:rPr>
        <w:t xml:space="preserve">transformers — load and run HuggingFace models</w:t>
      </w:r>
    </w:p>
    <w:p>
      <w:pPr>
        <w:pStyle w:val="ListParagraph"/>
        <w:numPr>
          <w:ilvl w:val="0"/>
          <w:numId w:val="2"/>
        </w:numPr>
        <w:spacing w:after="60" w:before="60"/>
      </w:pPr>
      <w:r>
        <w:rPr>
          <w:rFonts w:ascii="Arial" w:cs="Arial" w:eastAsia="Arial" w:hAnsi="Arial"/>
          <w:b w:val="false"/>
          <w:bCs w:val="false"/>
          <w:sz w:val="22"/>
          <w:szCs w:val="22"/>
        </w:rPr>
        <w:t xml:space="preserve">peft / trl — LoRA fine-tuning for the intent router</w:t>
      </w:r>
    </w:p>
    <w:p>
      <w:pPr>
        <w:pStyle w:val="ListParagraph"/>
        <w:numPr>
          <w:ilvl w:val="0"/>
          <w:numId w:val="2"/>
        </w:numPr>
        <w:spacing w:after="60" w:before="60"/>
      </w:pPr>
      <w:r>
        <w:rPr>
          <w:rFonts w:ascii="Arial" w:cs="Arial" w:eastAsia="Arial" w:hAnsi="Arial"/>
          <w:b w:val="false"/>
          <w:bCs w:val="false"/>
          <w:sz w:val="22"/>
          <w:szCs w:val="22"/>
        </w:rPr>
        <w:t xml:space="preserve">ollama — simple local model runner for Qwen3</w:t>
      </w:r>
    </w:p>
    <w:p>
      <w:pPr>
        <w:pStyle w:val="ListParagraph"/>
        <w:numPr>
          <w:ilvl w:val="0"/>
          <w:numId w:val="2"/>
        </w:numPr>
        <w:spacing w:after="60" w:before="60"/>
      </w:pPr>
      <w:r>
        <w:rPr>
          <w:rFonts w:ascii="Arial" w:cs="Arial" w:eastAsia="Arial" w:hAnsi="Arial"/>
          <w:b w:val="false"/>
          <w:bCs w:val="false"/>
          <w:sz w:val="22"/>
          <w:szCs w:val="22"/>
        </w:rPr>
        <w:t xml:space="preserve">fastapi — expose the pipeline as a local API endpoint</w:t>
      </w:r>
    </w:p>
    <w:p>
      <w:pPr>
        <w:pStyle w:val="ListParagraph"/>
        <w:numPr>
          <w:ilvl w:val="0"/>
          <w:numId w:val="2"/>
        </w:numPr>
        <w:spacing w:after="60" w:before="60"/>
      </w:pPr>
      <w:r>
        <w:rPr>
          <w:rFonts w:ascii="Arial" w:cs="Arial" w:eastAsia="Arial" w:hAnsi="Arial"/>
          <w:b w:val="false"/>
          <w:bCs w:val="false"/>
          <w:sz w:val="22"/>
          <w:szCs w:val="22"/>
        </w:rPr>
        <w:t xml:space="preserve">pytest — write and run evaluation test cases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Learning Resources</w:t>
      </w:r>
    </w:p>
    <w:p>
      <w:pPr>
        <w:pStyle w:val="ListParagraph"/>
        <w:numPr>
          <w:ilvl w:val="0"/>
          <w:numId w:val="2"/>
        </w:numPr>
        <w:spacing w:after="60" w:before="60"/>
      </w:pPr>
      <w:r>
        <w:rPr>
          <w:rFonts w:ascii="Arial" w:cs="Arial" w:eastAsia="Arial" w:hAnsi="Arial"/>
          <w:b w:val="false"/>
          <w:bCs w:val="false"/>
          <w:sz w:val="22"/>
          <w:szCs w:val="22"/>
        </w:rPr>
        <w:t xml:space="preserve">HuggingFace course (free): huggingface.co/learn</w:t>
      </w:r>
    </w:p>
    <w:p>
      <w:pPr>
        <w:pStyle w:val="ListParagraph"/>
        <w:numPr>
          <w:ilvl w:val="0"/>
          <w:numId w:val="2"/>
        </w:numPr>
        <w:spacing w:after="60" w:before="60"/>
      </w:pPr>
      <w:r>
        <w:rPr>
          <w:rFonts w:ascii="Arial" w:cs="Arial" w:eastAsia="Arial" w:hAnsi="Arial"/>
          <w:b w:val="false"/>
          <w:bCs w:val="false"/>
          <w:sz w:val="22"/>
          <w:szCs w:val="22"/>
        </w:rPr>
        <w:t xml:space="preserve">LoRA fine-tuning guide: huggingface.co/docs/peft</w:t>
      </w:r>
    </w:p>
    <w:p>
      <w:pPr>
        <w:pStyle w:val="ListParagraph"/>
        <w:numPr>
          <w:ilvl w:val="0"/>
          <w:numId w:val="2"/>
        </w:numPr>
        <w:spacing w:after="60" w:before="60"/>
      </w:pPr>
      <w:r>
        <w:rPr>
          <w:rFonts w:ascii="Arial" w:cs="Arial" w:eastAsia="Arial" w:hAnsi="Arial"/>
          <w:b w:val="false"/>
          <w:bCs w:val="false"/>
          <w:sz w:val="22"/>
          <w:szCs w:val="22"/>
        </w:rPr>
        <w:t xml:space="preserve">T5-Small SQL notebook: search 'cssupport t5-small-awesome-text-to-sql' on HuggingFace</w:t>
      </w:r>
    </w:p>
    <w:p>
      <w:pPr>
        <w:pStyle w:val="ListParagraph"/>
        <w:numPr>
          <w:ilvl w:val="0"/>
          <w:numId w:val="2"/>
        </w:numPr>
        <w:spacing w:after="60" w:before="60"/>
      </w:pPr>
      <w:r>
        <w:rPr>
          <w:rFonts w:ascii="Arial" w:cs="Arial" w:eastAsia="Arial" w:hAnsi="Arial"/>
          <w:b w:val="false"/>
          <w:bCs w:val="false"/>
          <w:sz w:val="22"/>
          <w:szCs w:val="22"/>
        </w:rPr>
        <w:t xml:space="preserve">Ollama quickstart: ollama.com/docs</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9. Conclusion and Recommendation</w:t>
      </w:r>
    </w:p>
    <w:p>
      <w:pPr>
        <w:spacing w:after="80" w:before="80"/>
      </w:pPr>
      <w:r>
        <w:rPr>
          <w:rFonts w:ascii="Arial" w:cs="Arial" w:eastAsia="Arial" w:hAnsi="Arial"/>
          <w:sz w:val="22"/>
          <w:szCs w:val="22"/>
        </w:rPr>
        <w:t xml:space="preserve">The proposed three-SLM architecture is technically sound, resource-efficient, and well-suited to the stated requirements. The fixed-schema constraint is a significant advantage — it eliminates the hardest part of text-to-SQL (schema linking) and allows a 240 MB model to achieve accuracy comparable to systems 30x its size.</w:t>
      </w:r>
    </w:p>
    <w:p>
      <w:pPr>
        <w:spacing w:after="80" w:before="80"/>
      </w:pPr>
      <w:r>
        <w:t xml:space="preserve"/>
      </w:r>
    </w:p>
    <w:p>
      <w:pPr>
        <w:spacing w:after="80" w:before="80"/>
      </w:pPr>
      <w:r>
        <w:rPr>
          <w:rFonts w:ascii="Arial" w:cs="Arial" w:eastAsia="Arial" w:hAnsi="Arial"/>
          <w:sz w:val="22"/>
          <w:szCs w:val="22"/>
        </w:rPr>
        <w:t xml:space="preserve">The recommendation is to proceed with the student implementation as outlined in Section 7. The project is well-scoped for a team of 2–3 students over 3–5 weeks and will produce a working, demonstrable local AI pipeline with real-world applicability.</w:t>
      </w:r>
    </w:p>
    <w:p>
      <w:pPr>
        <w:spacing w:after="80" w:before="80"/>
      </w:pPr>
      <w:r>
        <w:t xml:space="preserve"/>
      </w:r>
    </w:p>
    <w:p>
      <w:pPr>
        <w:spacing w:after="80" w:before="80"/>
      </w:pPr>
      <w:r>
        <w:rPr>
          <w:rFonts w:ascii="Arial" w:cs="Arial" w:eastAsia="Arial" w:hAnsi="Arial"/>
          <w:b w:val="false"/>
          <w:bCs w:val="false"/>
          <w:sz w:val="22"/>
          <w:szCs w:val="22"/>
        </w:rPr>
        <w:t xml:space="preserve">No cloud infrastructure, no API keys, and no recurring costs are required. The entire stack runs on any developer laptop with 8 GB of RAM or more.</w:t>
      </w:r>
    </w:p>
    <w:p>
      <w:pPr>
        <w:spacing w:after="80" w:before="80"/>
      </w:pPr>
      <w:r>
        <w:t xml:space="preserve"/>
      </w:r>
    </w:p>
    <w:p>
      <w:pPr>
        <w:spacing w:after="80" w:before="160"/>
      </w:pPr>
      <w:r>
        <w:rPr>
          <w:rFonts w:ascii="Arial" w:cs="Arial" w:eastAsia="Arial" w:hAnsi="Arial"/>
          <w:i/>
          <w:iCs/>
          <w:color w:val="888888"/>
          <w:sz w:val="18"/>
          <w:szCs w:val="18"/>
        </w:rPr>
        <w:t xml:space="preserve">Prepared by: AI Research Review   |   June 2026   |   For Manager Approval and Student Assignment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right"/>
    </w:pPr>
    <w:r>
      <w:rPr>
        <w:rFonts w:ascii="Arial" w:cs="Arial" w:eastAsia="Arial" w:hAnsi="Arial"/>
        <w:color w:val="888888"/>
        <w:sz w:val="18"/>
        <w:szCs w:val="18"/>
      </w:rPr>
      <w:t xml:space="preserve">Prepared for: Mid-Level Manager Review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b/>
        <w:bCs/>
        <w:color w:val="1F4E79"/>
        <w:sz w:val="18"/>
        <w:szCs w:val="18"/>
      </w:rPr>
      <w:t xml:space="preserve">Technical Feasibility Report — Local SLM Architecture for Tool Calling</w:t>
    </w:r>
    <w:r>
      <w:rPr>
        <w:rFonts w:ascii="Arial" w:cs="Arial" w:eastAsia="Arial" w:hAnsi="Arial"/>
        <w:color w:val="888888"/>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2026-06-29T02:37:14.679Z</dcterms:created>
  <dcterms:modified xsi:type="dcterms:W3CDTF">2026-06-29T02:37:14.679Z</dcterms:modified>
</cp:coreProperties>
</file>

<file path=docProps/custom.xml><?xml version="1.0" encoding="utf-8"?>
<Properties xmlns="http://schemas.openxmlformats.org/officeDocument/2006/custom-properties" xmlns:vt="http://schemas.openxmlformats.org/officeDocument/2006/docPropsVTypes"/>
</file>