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C2340"/>
          <w:sz w:val="32"/>
          <w:szCs w:val="32"/>
        </w:rPr>
        <w:t xml:space="preserve">Service-Retention Segmentation Model</w:t>
      </w:r>
    </w:p>
    <w:p>
      <w:pPr>
        <w:spacing w:after="200"/>
      </w:pPr>
      <w:r>
        <w:rPr>
          <w:color w:val="3A3A3A"/>
          <w:sz w:val="21"/>
          <w:szCs w:val="21"/>
        </w:rPr>
        <w:t xml:space="preserve">Every service customer is tagged with a lifecycle stage and a specific root-cause reason. The two are kept separate so customers with similar risk scores can still receive different, relevant treatments — a price complaint and a scheduling complaint never get the same fix.</w:t>
      </w:r>
    </w:p>
    <w:p>
      <w:pPr>
        <w:pStyle w:val="Heading2"/>
        <w:spacing w:after="120" w:before="120"/>
      </w:pPr>
      <w:r>
        <w:rPr>
          <w:b/>
          <w:bCs/>
          <w:color w:val="0C2340"/>
          <w:sz w:val="24"/>
          <w:szCs w:val="24"/>
        </w:rPr>
        <w:t xml:space="preserve">Full segment list with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200"/>
        <w:gridCol w:w="2060"/>
        <w:gridCol w:w="2000"/>
      </w:tblGrid>
      <w:tr>
        <w:trPr>
          <w:tblHeader/>
        </w:trPr>
        <w:tc>
          <w:tcPr>
            <w:tcW w:type="dxa" w:w="1500"/>
            <w:shd w:fill="0C23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600"/>
            <w:shd w:fill="0C23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200"/>
            <w:shd w:fill="0C23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customer</w:t>
            </w:r>
          </w:p>
        </w:tc>
        <w:tc>
          <w:tcPr>
            <w:tcW w:type="dxa" w:w="2060"/>
            <w:shd w:fill="0C23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000"/>
            <w:shd w:fill="0C23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Treatment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Early ownership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First service not booked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Bought 6 weeks ago, no appointment on file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reminder sent yet; owner unaware of interval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Automated booking reminder with two time-slot options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Early ownership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First service approaching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Delivery date puts first service due in 2 weeks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Proactive scheduling window not yet triggered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Send scheduling nudge 14 days ahead of due date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Early ownership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First service overdue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30+ days past expected first-service date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contact attempt logged since delivery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Escalate to phone/SMS outreach with easy rebooking link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Early ownership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Complimentary maintenance underused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Free maintenance plan active, zero visits used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Owner unaware plan exists or how to redeem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Explain plan value and remaining visits, prompt booking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Early ownership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Sales-to-service handoff incomplete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service advisor introduction logged post-delivery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 team did not transfer owner to service contact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Trigger service-team welcome contact within 7 days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Early ownership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First-time EV onboarding gap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 EV owner, no charging/feature education on file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Delivery education was skipped or incomplete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Send EV onboarding kit; offer 30-day check-in call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but at risk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Appointment-delay risk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Requested slot is 3+ weeks out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Capacity shortfall at preferred location/time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Offer alternate date, location, or mobile-service option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but at risk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Text-preference mismatch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Owner prefers SMS, dealership sends only email/calls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Communication channel not matched to stated preference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Switch outreach channel to owner's preferred method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but at risk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Unexpected-cost dissatisfaction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Final bill exceeded quoted estimate with no warning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Estimate not communicated or updated mid-service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Send itemized, pre-approved estimate before next visit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but at risk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Price-perception risk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Believes dealer pricing is higher, hasn't compared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Lack of price transparency, not true higher cost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Show transparent price comparison / price-match messaging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but at risk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Declined-work customer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Declined a recommended repair last visit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follow-up explaining urgency or evidence provided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Follow up with photo/video evidence and urgency context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but at risk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Parts-delay frustration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Repair held up by backordered part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Parts availability issue, not a technician failure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Proactive parts-status updates; expedite where possible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but at risk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Repair not fixed first time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Same complaint reopened within 30 days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Diagnostic or repair-quality gap on first visit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Immediate escalation to senior technician, no re-charge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Active but at risk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Warranty-transition risk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Factory warranty expiring within 90 days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post-warranty service plan presented yet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Present transparent post-warranty maintenance plan early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Defected or dormant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Missed expected service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Expected-service date passed with no visit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proactive reminder or grace-period follow-up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Send reminder with flexible rebooking within grace period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Defected or dormant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Dormant 6-12 months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dealer visit in 8 months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Service relationship lapsed after a bad experience or price shock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Low-pressure value/convenience win-back offer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Defected or dormant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Likely quick-lube / tire-chain migrator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Oil-change or tire interval overdue at dealer, vehicle still active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Convenience or walk-in access lost to chain competitor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Targeted convenience or price offer for that specific service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Defected or dormant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Likely independent-shop migrator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General repair pattern stopped at dealer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Price or trust gap versus independent shop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Highlight dealer expertise for complex/warranty-relevant work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Defected or dormant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Mobile-service competitor user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Vehicle serviced but not at dealer or known chain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service used for convenience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Promote dealer's own mobile-service option if available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Defected or dormant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High-value win-back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Long tenure, high historical spend, recently dormant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Recoverable relationship with strong lifetime value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Priority personal outreach from service advisor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Service opportunity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Tire retention opportunity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Buys tires elsewhere despite active dealer relationship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Dealer not top-of-mind for tire category specifically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Category-specific tire promotion and reminder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Service opportunity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 dealer-service opportunity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 owner, service history split between dealer and other providers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EV-specific technician trust or capability perception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Highlight trained EV technician availability and routing</w:t>
            </w:r>
          </w:p>
        </w:tc>
      </w:tr>
      <w:tr>
        <w:tc>
          <w:tcPr>
            <w:tcW w:type="dxa" w:w="15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Service opportunity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Service-to-sales eligible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Repair just completed, vehicle aging or high mileage</w:t>
            </w:r>
          </w:p>
        </w:tc>
        <w:tc>
          <w:tcPr>
            <w:tcW w:type="dxa" w:w="206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Natural point to introduce trade-in/replacement conversation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Service-to-sales handoff only after resolution, not during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0C2340"/>
          <w:sz w:val="24"/>
          <w:szCs w:val="24"/>
        </w:rPr>
        <w:t xml:space="preserve">How to use this for the accelerator</w:t>
      </w:r>
    </w:p>
    <w:p>
      <w:pPr>
        <w:spacing w:after="100"/>
      </w:pPr>
      <w:r>
        <w:rPr>
          <w:sz w:val="21"/>
          <w:szCs w:val="21"/>
        </w:rPr>
        <w:t xml:space="preserve">1. Tag every customer with a Stage (column 1) using ownership and visit-recency data.</w:t>
      </w:r>
    </w:p>
    <w:p>
      <w:pPr>
        <w:spacing w:after="100"/>
      </w:pPr>
      <w:r>
        <w:rPr>
          <w:sz w:val="21"/>
          <w:szCs w:val="21"/>
        </w:rPr>
        <w:t xml:space="preserve">2. Within that stage, assign the Segment (column 2) using service-behavior and satisfaction signals.</w:t>
      </w:r>
    </w:p>
    <w:p>
      <w:pPr>
        <w:spacing w:after="100"/>
      </w:pPr>
      <w:r>
        <w:rPr>
          <w:sz w:val="21"/>
          <w:szCs w:val="21"/>
        </w:rPr>
        <w:t xml:space="preserve">3. The Root cause (column 4) determines which of the 8 journey playbooks fires — never skip straight from stage to treatment.</w:t>
      </w:r>
    </w:p>
    <w:p>
      <w:pPr>
        <w:spacing w:after="100"/>
      </w:pPr>
      <w:r>
        <w:rPr>
          <w:sz w:val="21"/>
          <w:szCs w:val="21"/>
        </w:rPr>
        <w:t xml:space="preserve">4. The Treatment (column 5) is the next-best action the agentic layer should trigger — reminder, explanation, escalation, evidence, or suppression.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2026-08-20T14:24:16.577Z</dcterms:created>
  <dcterms:modified xsi:type="dcterms:W3CDTF">2026-08-20T14:24:16.588Z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