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60"/>
        <w:jc w:val="center"/>
      </w:pPr>
      <w:r>
        <w:rPr>
          <w:rFonts w:ascii="Aptos Display" w:hAnsi="Aptos Display"/>
          <w:b/>
          <w:color w:val="17365D"/>
          <w:sz w:val="58"/>
        </w:rPr>
        <w:t>TOP 10 LATEST U.S. DEALERSHIP</w:t>
        <w:br/>
        <w:t>SERVICE RETENTION STUDIES</w:t>
      </w:r>
    </w:p>
    <w:p>
      <w:pPr>
        <w:jc w:val="center"/>
      </w:pPr>
      <w:r>
        <w:rPr>
          <w:color w:val="1F4E79"/>
          <w:sz w:val="28"/>
        </w:rPr>
        <w:t>Customer defection, fixed operations, service win-back and retention journey strategy</w:t>
      </w:r>
    </w:p>
    <w:tbl>
      <w:tblPr>
        <w:tblW w:type="auto" w:w="0"/>
        <w:jc w:val="center"/>
        <w:tblLook w:firstColumn="1" w:firstRow="1" w:lastColumn="0" w:lastRow="0" w:noHBand="0" w:noVBand="1" w:val="04A0"/>
      </w:tblPr>
      <w:tblGrid>
        <w:gridCol w:w="2556"/>
        <w:gridCol w:w="2556"/>
        <w:gridCol w:w="2556"/>
        <w:gridCol w:w="2556"/>
      </w:tblGrid>
      <w:tr>
        <w:tc>
          <w:tcPr>
            <w:tcW w:type="dxa" w:w="2556"/>
            <w:shd w:fill="17365D"/>
            <w:vAlign w:val="center"/>
          </w:tcPr>
          <w:p>
            <w:pPr>
              <w:spacing w:after="20"/>
            </w:pPr>
            <w:r/>
          </w:p>
        </w:tc>
        <w:tc>
          <w:tcPr>
            <w:tcW w:type="dxa" w:w="2556"/>
            <w:shd w:fill="2F75B5"/>
            <w:vAlign w:val="center"/>
          </w:tcPr>
          <w:p>
            <w:pPr>
              <w:spacing w:after="20"/>
            </w:pPr>
            <w:r/>
          </w:p>
        </w:tc>
        <w:tc>
          <w:tcPr>
            <w:tcW w:type="dxa" w:w="2556"/>
            <w:shd w:fill="5B9BD5"/>
            <w:vAlign w:val="center"/>
          </w:tcPr>
          <w:p>
            <w:pPr>
              <w:spacing w:after="20"/>
            </w:pPr>
            <w:r/>
          </w:p>
        </w:tc>
        <w:tc>
          <w:tcPr>
            <w:tcW w:type="dxa" w:w="2556"/>
            <w:shd w:fill="9DC3E6"/>
            <w:vAlign w:val="center"/>
          </w:tcPr>
          <w:p>
            <w:pPr>
              <w:spacing w:after="20"/>
            </w:pPr>
            <w:r/>
          </w:p>
        </w:tc>
      </w:tr>
    </w:tbl>
    <w:p/>
    <w:tbl>
      <w:tblPr>
        <w:tblW w:type="auto" w:w="0"/>
        <w:jc w:val="center"/>
        <w:tblLook w:firstColumn="1" w:firstRow="1" w:lastColumn="0" w:lastRow="0" w:noHBand="0" w:noVBand="1" w:val="04A0"/>
      </w:tblPr>
      <w:tblGrid>
        <w:gridCol w:w="5112"/>
        <w:gridCol w:w="5112"/>
      </w:tblGrid>
      <w:tr>
        <w:tc>
          <w:tcPr>
            <w:tcW w:type="dxa" w:w="5112"/>
            <w:shd w:fill="D9EAF7"/>
            <w:tcMar>
              <w:top w:w="110" w:type="dxa"/>
              <w:start w:w="110" w:type="dxa"/>
              <w:bottom w:w="110" w:type="dxa"/>
              <w:end w:w="110" w:type="dxa"/>
            </w:tcMar>
            <w:vAlign w:val="center"/>
          </w:tcPr>
          <w:p>
            <w:pPr>
              <w:spacing w:after="20"/>
            </w:pPr>
            <w:r>
              <w:rPr>
                <w:b/>
              </w:rPr>
              <w:t>Prepared for</w:t>
            </w:r>
          </w:p>
        </w:tc>
        <w:tc>
          <w:tcPr>
            <w:tcW w:type="dxa" w:w="5112"/>
            <w:tcMar>
              <w:top w:w="110" w:type="dxa"/>
              <w:start w:w="110" w:type="dxa"/>
              <w:bottom w:w="110" w:type="dxa"/>
              <w:end w:w="110" w:type="dxa"/>
            </w:tcMar>
            <w:vAlign w:val="center"/>
          </w:tcPr>
          <w:p>
            <w:pPr>
              <w:spacing w:after="20"/>
            </w:pPr>
            <w:r>
              <w:t>Gangadhar Pothala</w:t>
            </w:r>
          </w:p>
        </w:tc>
      </w:tr>
      <w:tr>
        <w:tc>
          <w:tcPr>
            <w:tcW w:type="dxa" w:w="5112"/>
            <w:shd w:fill="D9EAF7"/>
            <w:tcMar>
              <w:top w:w="110" w:type="dxa"/>
              <w:start w:w="110" w:type="dxa"/>
              <w:bottom w:w="110" w:type="dxa"/>
              <w:end w:w="110" w:type="dxa"/>
            </w:tcMar>
            <w:vAlign w:val="center"/>
          </w:tcPr>
          <w:p>
            <w:pPr>
              <w:spacing w:after="20"/>
            </w:pPr>
            <w:r>
              <w:rPr>
                <w:b/>
              </w:rPr>
              <w:t>Market</w:t>
            </w:r>
          </w:p>
        </w:tc>
        <w:tc>
          <w:tcPr>
            <w:tcW w:type="dxa" w:w="5112"/>
            <w:tcMar>
              <w:top w:w="110" w:type="dxa"/>
              <w:start w:w="110" w:type="dxa"/>
              <w:bottom w:w="110" w:type="dxa"/>
              <w:end w:w="110" w:type="dxa"/>
            </w:tcMar>
            <w:vAlign w:val="center"/>
          </w:tcPr>
          <w:p>
            <w:pPr>
              <w:spacing w:after="20"/>
            </w:pPr>
            <w:r>
              <w:t>United States</w:t>
            </w:r>
          </w:p>
        </w:tc>
      </w:tr>
      <w:tr>
        <w:tc>
          <w:tcPr>
            <w:tcW w:type="dxa" w:w="5112"/>
            <w:shd w:fill="D9EAF7"/>
            <w:tcMar>
              <w:top w:w="110" w:type="dxa"/>
              <w:start w:w="110" w:type="dxa"/>
              <w:bottom w:w="110" w:type="dxa"/>
              <w:end w:w="110" w:type="dxa"/>
            </w:tcMar>
            <w:vAlign w:val="center"/>
          </w:tcPr>
          <w:p>
            <w:pPr>
              <w:spacing w:after="20"/>
            </w:pPr>
            <w:r>
              <w:rPr>
                <w:b/>
              </w:rPr>
              <w:t>Primary focus</w:t>
            </w:r>
          </w:p>
        </w:tc>
        <w:tc>
          <w:tcPr>
            <w:tcW w:type="dxa" w:w="5112"/>
            <w:tcMar>
              <w:top w:w="110" w:type="dxa"/>
              <w:start w:w="110" w:type="dxa"/>
              <w:bottom w:w="110" w:type="dxa"/>
              <w:end w:w="110" w:type="dxa"/>
            </w:tcMar>
            <w:vAlign w:val="center"/>
          </w:tcPr>
          <w:p>
            <w:pPr>
              <w:spacing w:after="20"/>
            </w:pPr>
            <w:r>
              <w:t>Dealership service retention only</w:t>
            </w:r>
          </w:p>
        </w:tc>
      </w:tr>
      <w:tr>
        <w:tc>
          <w:tcPr>
            <w:tcW w:type="dxa" w:w="5112"/>
            <w:shd w:fill="D9EAF7"/>
            <w:tcMar>
              <w:top w:w="110" w:type="dxa"/>
              <w:start w:w="110" w:type="dxa"/>
              <w:bottom w:w="110" w:type="dxa"/>
              <w:end w:w="110" w:type="dxa"/>
            </w:tcMar>
            <w:vAlign w:val="center"/>
          </w:tcPr>
          <w:p>
            <w:pPr>
              <w:spacing w:after="20"/>
            </w:pPr>
            <w:r>
              <w:rPr>
                <w:b/>
              </w:rPr>
              <w:t>Research window</w:t>
            </w:r>
          </w:p>
        </w:tc>
        <w:tc>
          <w:tcPr>
            <w:tcW w:type="dxa" w:w="5112"/>
            <w:tcMar>
              <w:top w:w="110" w:type="dxa"/>
              <w:start w:w="110" w:type="dxa"/>
              <w:bottom w:w="110" w:type="dxa"/>
              <w:end w:w="110" w:type="dxa"/>
            </w:tcMar>
            <w:vAlign w:val="center"/>
          </w:tcPr>
          <w:p>
            <w:pPr>
              <w:spacing w:after="20"/>
            </w:pPr>
            <w:r>
              <w:t>2025-2026</w:t>
            </w:r>
          </w:p>
        </w:tc>
      </w:tr>
      <w:tr>
        <w:tc>
          <w:tcPr>
            <w:tcW w:type="dxa" w:w="5112"/>
            <w:shd w:fill="D9EAF7"/>
            <w:tcMar>
              <w:top w:w="110" w:type="dxa"/>
              <w:start w:w="110" w:type="dxa"/>
              <w:bottom w:w="110" w:type="dxa"/>
              <w:end w:w="110" w:type="dxa"/>
            </w:tcMar>
            <w:vAlign w:val="center"/>
          </w:tcPr>
          <w:p>
            <w:pPr>
              <w:spacing w:after="20"/>
            </w:pPr>
            <w:r>
              <w:rPr>
                <w:b/>
              </w:rPr>
              <w:t>Prepared</w:t>
            </w:r>
          </w:p>
        </w:tc>
        <w:tc>
          <w:tcPr>
            <w:tcW w:type="dxa" w:w="5112"/>
            <w:tcMar>
              <w:top w:w="110" w:type="dxa"/>
              <w:start w:w="110" w:type="dxa"/>
              <w:bottom w:w="110" w:type="dxa"/>
              <w:end w:w="110" w:type="dxa"/>
            </w:tcMar>
            <w:vAlign w:val="center"/>
          </w:tcPr>
          <w:p>
            <w:pPr>
              <w:spacing w:after="20"/>
            </w:pPr>
            <w:r>
              <w:t>11 August 2026</w:t>
            </w:r>
          </w:p>
        </w:tc>
      </w:tr>
    </w:tbl>
    <w:p>
      <w:r>
        <w:br w:type="page"/>
      </w:r>
    </w:p>
    <w:p>
      <w:pPr>
        <w:pStyle w:val="Title"/>
      </w:pPr>
      <w:r>
        <w:t>Executive Summary</w:t>
      </w:r>
    </w:p>
    <w:p>
      <w:r>
        <w:t>This report focuses exclusively on retaining customers within dealership service and fixed operations. General brand loyalty and acquisition research are excluded unless the evidence directly explains the sales-to-service handoff or service-driven future loyalty.</w:t>
      </w:r>
    </w:p>
    <w:tbl>
      <w:tblPr>
        <w:tblW w:type="auto" w:w="0"/>
        <w:tblLook w:firstColumn="1" w:firstRow="1" w:lastColumn="0" w:lastRow="0" w:noHBand="0" w:noVBand="1" w:val="04A0"/>
      </w:tblPr>
      <w:tblGrid>
        <w:gridCol w:w="10224"/>
      </w:tblGrid>
      <w:tr>
        <w:tc>
          <w:tcPr>
            <w:tcW w:type="dxa" w:w="10224"/>
            <w:shd w:fill="E2F0D9"/>
            <w:tcMar>
              <w:top w:w="130" w:type="dxa"/>
              <w:start w:w="130" w:type="dxa"/>
              <w:bottom w:w="130" w:type="dxa"/>
              <w:end w:w="130" w:type="dxa"/>
            </w:tcMar>
            <w:vAlign w:val="center"/>
          </w:tcPr>
          <w:p>
            <w:pPr>
              <w:spacing w:after="20"/>
            </w:pPr>
            <w:r>
              <w:rPr>
                <w:b/>
              </w:rPr>
              <w:t xml:space="preserve">Core design principle: </w:t>
            </w:r>
            <w:r>
              <w:t>Predicting service defection is not enough. The application must identify the likely reason for defection and select a root-cause-specific treatment that the dealership can operationally deliver.</w:t>
            </w:r>
          </w:p>
        </w:tc>
      </w:tr>
    </w:tbl>
    <w:p>
      <w:pPr>
        <w:pStyle w:val="Heading1"/>
      </w:pPr>
      <w:r>
        <w:t>What drives service retention in the reviewed studies</w:t>
      </w:r>
    </w:p>
    <w:p>
      <w:pPr>
        <w:pStyle w:val="ListBullet"/>
        <w:spacing w:after="40"/>
        <w:ind w:left="288" w:hanging="173"/>
      </w:pPr>
      <w:r>
        <w:t>Quality of work and fixed-right-first-time performance</w:t>
      </w:r>
    </w:p>
    <w:p>
      <w:pPr>
        <w:pStyle w:val="ListBullet"/>
        <w:spacing w:after="40"/>
        <w:ind w:left="288" w:hanging="173"/>
      </w:pPr>
      <w:r>
        <w:t>Transparent price, perceived fairness and no unexpected cost</w:t>
      </w:r>
    </w:p>
    <w:p>
      <w:pPr>
        <w:pStyle w:val="ListBullet"/>
        <w:spacing w:after="40"/>
        <w:ind w:left="288" w:hanging="173"/>
      </w:pPr>
      <w:r>
        <w:t>Appointment access, completion time and convenience</w:t>
      </w:r>
    </w:p>
    <w:p>
      <w:pPr>
        <w:pStyle w:val="ListBullet"/>
        <w:spacing w:after="40"/>
        <w:ind w:left="288" w:hanging="173"/>
      </w:pPr>
      <w:r>
        <w:t>Communication quality and preferred update channel</w:t>
      </w:r>
    </w:p>
    <w:p>
      <w:pPr>
        <w:pStyle w:val="ListBullet"/>
        <w:spacing w:after="40"/>
        <w:ind w:left="288" w:hanging="173"/>
      </w:pPr>
      <w:r>
        <w:t>First-service onboarding and sales-to-service handoff</w:t>
      </w:r>
    </w:p>
    <w:p>
      <w:pPr>
        <w:pStyle w:val="ListBullet"/>
        <w:spacing w:after="40"/>
        <w:ind w:left="288" w:hanging="173"/>
      </w:pPr>
      <w:r>
        <w:t>Digital scheduling, mobile service and video inspection awareness</w:t>
      </w:r>
    </w:p>
    <w:p>
      <w:pPr>
        <w:pStyle w:val="ListBullet"/>
        <w:spacing w:after="40"/>
        <w:ind w:left="288" w:hanging="173"/>
      </w:pPr>
      <w:r>
        <w:t>EV technician capability, charging and ownership education</w:t>
      </w:r>
    </w:p>
    <w:p>
      <w:pPr>
        <w:pStyle w:val="ListBullet"/>
        <w:spacing w:after="40"/>
        <w:ind w:left="288" w:hanging="173"/>
      </w:pPr>
      <w:r>
        <w:t>Post-service follow-up and confirmation that work was satisfactory</w:t>
      </w:r>
    </w:p>
    <w:p>
      <w:pPr>
        <w:pStyle w:val="Heading1"/>
      </w:pPr>
      <w:r>
        <w:t>Selection method</w:t>
      </w:r>
    </w:p>
    <w:p>
      <w:r>
        <w:t>The list is curated rather than an official ranking. Sources were chosen for recency, U.S. relevance, service specificity, research scale and usefulness for service-retention segmentation or journey design. Some full reports require registration; the document states where public detail is limited.</w:t>
      </w:r>
    </w:p>
    <w:p>
      <w:r>
        <w:br w:type="page"/>
      </w:r>
    </w:p>
    <w:p>
      <w:pPr>
        <w:pStyle w:val="Title"/>
      </w:pPr>
      <w:r>
        <w:t>Research Portfolio at a Glance</w:t>
      </w:r>
    </w:p>
    <w:tbl>
      <w:tblPr>
        <w:tblW w:type="auto" w:w="0"/>
        <w:jc w:val="center"/>
        <w:tblLook w:firstColumn="1" w:firstRow="1" w:lastColumn="0" w:lastRow="0" w:noHBand="0" w:noVBand="1" w:val="04A0"/>
      </w:tblPr>
      <w:tblGrid>
        <w:gridCol w:w="2556"/>
        <w:gridCol w:w="2556"/>
        <w:gridCol w:w="2556"/>
        <w:gridCol w:w="2556"/>
      </w:tblGrid>
      <w:tr>
        <w:tc>
          <w:tcPr>
            <w:tcW w:type="dxa" w:w="504"/>
            <w:shd w:fill="17365D"/>
            <w:tcMar>
              <w:top w:w="65" w:type="dxa"/>
              <w:start w:w="65" w:type="dxa"/>
              <w:bottom w:w="65" w:type="dxa"/>
              <w:end w:w="65" w:type="dxa"/>
            </w:tcMar>
            <w:vAlign w:val="center"/>
          </w:tcPr>
          <w:p>
            <w:pPr>
              <w:spacing w:after="20"/>
            </w:pPr>
            <w:r>
              <w:rPr>
                <w:b/>
                <w:color w:val="FFFFFF"/>
              </w:rPr>
              <w:t>#</w:t>
            </w:r>
          </w:p>
        </w:tc>
        <w:tc>
          <w:tcPr>
            <w:tcW w:type="dxa" w:w="4320"/>
            <w:shd w:fill="17365D"/>
            <w:tcMar>
              <w:top w:w="65" w:type="dxa"/>
              <w:start w:w="65" w:type="dxa"/>
              <w:bottom w:w="65" w:type="dxa"/>
              <w:end w:w="65" w:type="dxa"/>
            </w:tcMar>
            <w:vAlign w:val="center"/>
          </w:tcPr>
          <w:p>
            <w:pPr>
              <w:spacing w:after="20"/>
            </w:pPr>
            <w:r>
              <w:rPr>
                <w:b/>
                <w:color w:val="FFFFFF"/>
              </w:rPr>
              <w:t>Study</w:t>
            </w:r>
          </w:p>
        </w:tc>
        <w:tc>
          <w:tcPr>
            <w:tcW w:type="dxa" w:w="2232"/>
            <w:shd w:fill="17365D"/>
            <w:tcMar>
              <w:top w:w="65" w:type="dxa"/>
              <w:start w:w="65" w:type="dxa"/>
              <w:bottom w:w="65" w:type="dxa"/>
              <w:end w:w="65" w:type="dxa"/>
            </w:tcMar>
            <w:vAlign w:val="center"/>
          </w:tcPr>
          <w:p>
            <w:pPr>
              <w:spacing w:after="20"/>
            </w:pPr>
            <w:r>
              <w:rPr>
                <w:b/>
                <w:color w:val="FFFFFF"/>
              </w:rPr>
              <w:t>Primary focus</w:t>
            </w:r>
          </w:p>
        </w:tc>
        <w:tc>
          <w:tcPr>
            <w:tcW w:type="dxa" w:w="3240"/>
            <w:shd w:fill="17365D"/>
            <w:tcMar>
              <w:top w:w="65" w:type="dxa"/>
              <w:start w:w="65" w:type="dxa"/>
              <w:bottom w:w="65" w:type="dxa"/>
              <w:end w:w="65" w:type="dxa"/>
            </w:tcMar>
            <w:vAlign w:val="center"/>
          </w:tcPr>
          <w:p>
            <w:pPr>
              <w:spacing w:after="20"/>
            </w:pPr>
            <w:r>
              <w:rPr>
                <w:b/>
                <w:color w:val="FFFFFF"/>
              </w:rPr>
              <w:t>Best use</w:t>
            </w:r>
          </w:p>
        </w:tc>
      </w:tr>
      <w:tr>
        <w:tc>
          <w:tcPr>
            <w:tcW w:type="dxa" w:w="504"/>
            <w:tcMar>
              <w:top w:w="55" w:type="dxa"/>
              <w:start w:w="55" w:type="dxa"/>
              <w:bottom w:w="55" w:type="dxa"/>
              <w:end w:w="55" w:type="dxa"/>
            </w:tcMar>
            <w:shd w:fill="D9EAF7"/>
            <w:vAlign w:val="center"/>
          </w:tcPr>
          <w:p>
            <w:pPr>
              <w:spacing w:after="20"/>
            </w:pPr>
            <w:r>
              <w:rPr>
                <w:b/>
              </w:rPr>
              <w:t>1</w:t>
            </w:r>
          </w:p>
        </w:tc>
        <w:tc>
          <w:tcPr>
            <w:tcW w:type="dxa" w:w="4320"/>
            <w:tcMar>
              <w:top w:w="55" w:type="dxa"/>
              <w:start w:w="55" w:type="dxa"/>
              <w:bottom w:w="55" w:type="dxa"/>
              <w:end w:w="55" w:type="dxa"/>
            </w:tcMar>
            <w:vAlign w:val="center"/>
          </w:tcPr>
          <w:p>
            <w:pPr>
              <w:spacing w:after="20"/>
            </w:pPr>
            <w:r>
              <w:t>2026 Dealership Service Retention Report</w:t>
            </w:r>
          </w:p>
        </w:tc>
        <w:tc>
          <w:tcPr>
            <w:tcW w:type="dxa" w:w="2232"/>
            <w:tcMar>
              <w:top w:w="55" w:type="dxa"/>
              <w:start w:w="55" w:type="dxa"/>
              <w:bottom w:w="55" w:type="dxa"/>
              <w:end w:w="55" w:type="dxa"/>
            </w:tcMar>
            <w:vAlign w:val="center"/>
          </w:tcPr>
          <w:p>
            <w:pPr>
              <w:spacing w:after="20"/>
            </w:pPr>
            <w:r>
              <w:t>Dealer service loyalty</w:t>
            </w:r>
          </w:p>
        </w:tc>
        <w:tc>
          <w:tcPr>
            <w:tcW w:type="dxa" w:w="3240"/>
            <w:tcMar>
              <w:top w:w="55" w:type="dxa"/>
              <w:start w:w="55" w:type="dxa"/>
              <w:bottom w:w="55" w:type="dxa"/>
              <w:end w:w="55" w:type="dxa"/>
            </w:tcMar>
            <w:vAlign w:val="center"/>
          </w:tcPr>
          <w:p>
            <w:pPr>
              <w:spacing w:after="20"/>
            </w:pPr>
            <w:r>
              <w:t>Root-cause retention design</w:t>
            </w:r>
          </w:p>
        </w:tc>
      </w:tr>
      <w:tr>
        <w:tc>
          <w:tcPr>
            <w:tcW w:type="dxa" w:w="504"/>
            <w:tcMar>
              <w:top w:w="55" w:type="dxa"/>
              <w:start w:w="55" w:type="dxa"/>
              <w:bottom w:w="55" w:type="dxa"/>
              <w:end w:w="55" w:type="dxa"/>
            </w:tcMar>
            <w:shd w:fill="D9EAF7"/>
            <w:vAlign w:val="center"/>
          </w:tcPr>
          <w:p>
            <w:pPr>
              <w:spacing w:after="20"/>
            </w:pPr>
            <w:r>
              <w:rPr>
                <w:b/>
              </w:rPr>
              <w:t>2</w:t>
            </w:r>
          </w:p>
        </w:tc>
        <w:tc>
          <w:tcPr>
            <w:tcW w:type="dxa" w:w="4320"/>
            <w:tcMar>
              <w:top w:w="55" w:type="dxa"/>
              <w:start w:w="55" w:type="dxa"/>
              <w:bottom w:w="55" w:type="dxa"/>
              <w:end w:w="55" w:type="dxa"/>
            </w:tcMar>
            <w:vAlign w:val="center"/>
          </w:tcPr>
          <w:p>
            <w:pPr>
              <w:spacing w:after="20"/>
            </w:pPr>
            <w:r>
              <w:t>Consumer Sentiment Survey: Changing Auto Service Dynamics Benchmark</w:t>
            </w:r>
          </w:p>
        </w:tc>
        <w:tc>
          <w:tcPr>
            <w:tcW w:type="dxa" w:w="2232"/>
            <w:tcMar>
              <w:top w:w="55" w:type="dxa"/>
              <w:start w:w="55" w:type="dxa"/>
              <w:bottom w:w="55" w:type="dxa"/>
              <w:end w:w="55" w:type="dxa"/>
            </w:tcMar>
            <w:vAlign w:val="center"/>
          </w:tcPr>
          <w:p>
            <w:pPr>
              <w:spacing w:after="20"/>
            </w:pPr>
            <w:r>
              <w:t>Dealer vs chain shift</w:t>
            </w:r>
          </w:p>
        </w:tc>
        <w:tc>
          <w:tcPr>
            <w:tcW w:type="dxa" w:w="3240"/>
            <w:tcMar>
              <w:top w:w="55" w:type="dxa"/>
              <w:start w:w="55" w:type="dxa"/>
              <w:bottom w:w="55" w:type="dxa"/>
              <w:end w:w="55" w:type="dxa"/>
            </w:tcMar>
            <w:vAlign w:val="center"/>
          </w:tcPr>
          <w:p>
            <w:pPr>
              <w:spacing w:after="20"/>
            </w:pPr>
            <w:r>
              <w:t>Channel-defense strategy</w:t>
            </w:r>
          </w:p>
        </w:tc>
      </w:tr>
      <w:tr>
        <w:tc>
          <w:tcPr>
            <w:tcW w:type="dxa" w:w="504"/>
            <w:tcMar>
              <w:top w:w="55" w:type="dxa"/>
              <w:start w:w="55" w:type="dxa"/>
              <w:bottom w:w="55" w:type="dxa"/>
              <w:end w:w="55" w:type="dxa"/>
            </w:tcMar>
            <w:shd w:fill="D9EAF7"/>
            <w:vAlign w:val="center"/>
          </w:tcPr>
          <w:p>
            <w:pPr>
              <w:spacing w:after="20"/>
            </w:pPr>
            <w:r>
              <w:rPr>
                <w:b/>
              </w:rPr>
              <w:t>3</w:t>
            </w:r>
          </w:p>
        </w:tc>
        <w:tc>
          <w:tcPr>
            <w:tcW w:type="dxa" w:w="4320"/>
            <w:tcMar>
              <w:top w:w="55" w:type="dxa"/>
              <w:start w:w="55" w:type="dxa"/>
              <w:bottom w:w="55" w:type="dxa"/>
              <w:end w:w="55" w:type="dxa"/>
            </w:tcMar>
            <w:vAlign w:val="center"/>
          </w:tcPr>
          <w:p>
            <w:pPr>
              <w:spacing w:after="20"/>
            </w:pPr>
            <w:r>
              <w:t>2025 Automotive Service Industry Study</w:t>
            </w:r>
          </w:p>
        </w:tc>
        <w:tc>
          <w:tcPr>
            <w:tcW w:type="dxa" w:w="2232"/>
            <w:tcMar>
              <w:top w:w="55" w:type="dxa"/>
              <w:start w:w="55" w:type="dxa"/>
              <w:bottom w:w="55" w:type="dxa"/>
              <w:end w:w="55" w:type="dxa"/>
            </w:tcMar>
            <w:vAlign w:val="center"/>
          </w:tcPr>
          <w:p>
            <w:pPr>
              <w:spacing w:after="20"/>
            </w:pPr>
            <w:r>
              <w:t>Industry service share</w:t>
            </w:r>
          </w:p>
        </w:tc>
        <w:tc>
          <w:tcPr>
            <w:tcW w:type="dxa" w:w="3240"/>
            <w:tcMar>
              <w:top w:w="55" w:type="dxa"/>
              <w:start w:w="55" w:type="dxa"/>
              <w:bottom w:w="55" w:type="dxa"/>
              <w:end w:w="55" w:type="dxa"/>
            </w:tcMar>
            <w:vAlign w:val="center"/>
          </w:tcPr>
          <w:p>
            <w:pPr>
              <w:spacing w:after="20"/>
            </w:pPr>
            <w:r>
              <w:t>Retention segmentation</w:t>
            </w:r>
          </w:p>
        </w:tc>
      </w:tr>
      <w:tr>
        <w:tc>
          <w:tcPr>
            <w:tcW w:type="dxa" w:w="504"/>
            <w:tcMar>
              <w:top w:w="55" w:type="dxa"/>
              <w:start w:w="55" w:type="dxa"/>
              <w:bottom w:w="55" w:type="dxa"/>
              <w:end w:w="55" w:type="dxa"/>
            </w:tcMar>
            <w:shd w:fill="D9EAF7"/>
            <w:vAlign w:val="center"/>
          </w:tcPr>
          <w:p>
            <w:pPr>
              <w:spacing w:after="20"/>
            </w:pPr>
            <w:r>
              <w:rPr>
                <w:b/>
              </w:rPr>
              <w:t>4</w:t>
            </w:r>
          </w:p>
        </w:tc>
        <w:tc>
          <w:tcPr>
            <w:tcW w:type="dxa" w:w="4320"/>
            <w:tcMar>
              <w:top w:w="55" w:type="dxa"/>
              <w:start w:w="55" w:type="dxa"/>
              <w:bottom w:w="55" w:type="dxa"/>
              <w:end w:w="55" w:type="dxa"/>
            </w:tcMar>
            <w:vAlign w:val="center"/>
          </w:tcPr>
          <w:p>
            <w:pPr>
              <w:spacing w:after="20"/>
            </w:pPr>
            <w:r>
              <w:t>2025 U.S. Customer Service Index Study</w:t>
            </w:r>
          </w:p>
        </w:tc>
        <w:tc>
          <w:tcPr>
            <w:tcW w:type="dxa" w:w="2232"/>
            <w:tcMar>
              <w:top w:w="55" w:type="dxa"/>
              <w:start w:w="55" w:type="dxa"/>
              <w:bottom w:w="55" w:type="dxa"/>
              <w:end w:w="55" w:type="dxa"/>
            </w:tcMar>
            <w:vAlign w:val="center"/>
          </w:tcPr>
          <w:p>
            <w:pPr>
              <w:spacing w:after="20"/>
            </w:pPr>
            <w:r>
              <w:t>Dealer service experience</w:t>
            </w:r>
          </w:p>
        </w:tc>
        <w:tc>
          <w:tcPr>
            <w:tcW w:type="dxa" w:w="3240"/>
            <w:tcMar>
              <w:top w:w="55" w:type="dxa"/>
              <w:start w:w="55" w:type="dxa"/>
              <w:bottom w:w="55" w:type="dxa"/>
              <w:end w:w="55" w:type="dxa"/>
            </w:tcMar>
            <w:vAlign w:val="center"/>
          </w:tcPr>
          <w:p>
            <w:pPr>
              <w:spacing w:after="20"/>
            </w:pPr>
            <w:r>
              <w:t>Operational recovery</w:t>
            </w:r>
          </w:p>
        </w:tc>
      </w:tr>
      <w:tr>
        <w:tc>
          <w:tcPr>
            <w:tcW w:type="dxa" w:w="504"/>
            <w:tcMar>
              <w:top w:w="55" w:type="dxa"/>
              <w:start w:w="55" w:type="dxa"/>
              <w:bottom w:w="55" w:type="dxa"/>
              <w:end w:w="55" w:type="dxa"/>
            </w:tcMar>
            <w:shd w:fill="D9EAF7"/>
            <w:vAlign w:val="center"/>
          </w:tcPr>
          <w:p>
            <w:pPr>
              <w:spacing w:after="20"/>
            </w:pPr>
            <w:r>
              <w:rPr>
                <w:b/>
              </w:rPr>
              <w:t>5</w:t>
            </w:r>
          </w:p>
        </w:tc>
        <w:tc>
          <w:tcPr>
            <w:tcW w:type="dxa" w:w="4320"/>
            <w:tcMar>
              <w:top w:w="55" w:type="dxa"/>
              <w:start w:w="55" w:type="dxa"/>
              <w:bottom w:w="55" w:type="dxa"/>
              <w:end w:w="55" w:type="dxa"/>
            </w:tcMar>
            <w:vAlign w:val="center"/>
          </w:tcPr>
          <w:p>
            <w:pPr>
              <w:spacing w:after="20"/>
            </w:pPr>
            <w:r>
              <w:t>2025 U.S. Aftermarket Service Index Study</w:t>
            </w:r>
          </w:p>
        </w:tc>
        <w:tc>
          <w:tcPr>
            <w:tcW w:type="dxa" w:w="2232"/>
            <w:tcMar>
              <w:top w:w="55" w:type="dxa"/>
              <w:start w:w="55" w:type="dxa"/>
              <w:bottom w:w="55" w:type="dxa"/>
              <w:end w:w="55" w:type="dxa"/>
            </w:tcMar>
            <w:vAlign w:val="center"/>
          </w:tcPr>
          <w:p>
            <w:pPr>
              <w:spacing w:after="20"/>
            </w:pPr>
            <w:r>
              <w:t>Aftermarket competition</w:t>
            </w:r>
          </w:p>
        </w:tc>
        <w:tc>
          <w:tcPr>
            <w:tcW w:type="dxa" w:w="3240"/>
            <w:tcMar>
              <w:top w:w="55" w:type="dxa"/>
              <w:start w:w="55" w:type="dxa"/>
              <w:bottom w:w="55" w:type="dxa"/>
              <w:end w:w="55" w:type="dxa"/>
            </w:tcMar>
            <w:vAlign w:val="center"/>
          </w:tcPr>
          <w:p>
            <w:pPr>
              <w:spacing w:after="20"/>
            </w:pPr>
            <w:r>
              <w:t>Competitive benchmarking</w:t>
            </w:r>
          </w:p>
        </w:tc>
      </w:tr>
      <w:tr>
        <w:tc>
          <w:tcPr>
            <w:tcW w:type="dxa" w:w="504"/>
            <w:tcMar>
              <w:top w:w="55" w:type="dxa"/>
              <w:start w:w="55" w:type="dxa"/>
              <w:bottom w:w="55" w:type="dxa"/>
              <w:end w:w="55" w:type="dxa"/>
            </w:tcMar>
            <w:shd w:fill="D9EAF7"/>
            <w:vAlign w:val="center"/>
          </w:tcPr>
          <w:p>
            <w:pPr>
              <w:spacing w:after="20"/>
            </w:pPr>
            <w:r>
              <w:rPr>
                <w:b/>
              </w:rPr>
              <w:t>6</w:t>
            </w:r>
          </w:p>
        </w:tc>
        <w:tc>
          <w:tcPr>
            <w:tcW w:type="dxa" w:w="4320"/>
            <w:tcMar>
              <w:top w:w="55" w:type="dxa"/>
              <w:start w:w="55" w:type="dxa"/>
              <w:bottom w:w="55" w:type="dxa"/>
              <w:end w:w="55" w:type="dxa"/>
            </w:tcMar>
            <w:vAlign w:val="center"/>
          </w:tcPr>
          <w:p>
            <w:pPr>
              <w:spacing w:after="20"/>
            </w:pPr>
            <w:r>
              <w:t>2026 Fixed Operations and Ownership Study</w:t>
            </w:r>
          </w:p>
        </w:tc>
        <w:tc>
          <w:tcPr>
            <w:tcW w:type="dxa" w:w="2232"/>
            <w:tcMar>
              <w:top w:w="55" w:type="dxa"/>
              <w:start w:w="55" w:type="dxa"/>
              <w:bottom w:w="55" w:type="dxa"/>
              <w:end w:w="55" w:type="dxa"/>
            </w:tcMar>
            <w:vAlign w:val="center"/>
          </w:tcPr>
          <w:p>
            <w:pPr>
              <w:spacing w:after="20"/>
            </w:pPr>
            <w:r>
              <w:t>Fixed-ops economics</w:t>
            </w:r>
          </w:p>
        </w:tc>
        <w:tc>
          <w:tcPr>
            <w:tcW w:type="dxa" w:w="3240"/>
            <w:tcMar>
              <w:top w:w="55" w:type="dxa"/>
              <w:start w:w="55" w:type="dxa"/>
              <w:bottom w:w="55" w:type="dxa"/>
              <w:end w:w="55" w:type="dxa"/>
            </w:tcMar>
            <w:vAlign w:val="center"/>
          </w:tcPr>
          <w:p>
            <w:pPr>
              <w:spacing w:after="20"/>
            </w:pPr>
            <w:r>
              <w:t>Lifetime-value planning</w:t>
            </w:r>
          </w:p>
        </w:tc>
      </w:tr>
      <w:tr>
        <w:tc>
          <w:tcPr>
            <w:tcW w:type="dxa" w:w="504"/>
            <w:tcMar>
              <w:top w:w="55" w:type="dxa"/>
              <w:start w:w="55" w:type="dxa"/>
              <w:bottom w:w="55" w:type="dxa"/>
              <w:end w:w="55" w:type="dxa"/>
            </w:tcMar>
            <w:shd w:fill="D9EAF7"/>
            <w:vAlign w:val="center"/>
          </w:tcPr>
          <w:p>
            <w:pPr>
              <w:spacing w:after="20"/>
            </w:pPr>
            <w:r>
              <w:rPr>
                <w:b/>
              </w:rPr>
              <w:t>7</w:t>
            </w:r>
          </w:p>
        </w:tc>
        <w:tc>
          <w:tcPr>
            <w:tcW w:type="dxa" w:w="4320"/>
            <w:tcMar>
              <w:top w:w="55" w:type="dxa"/>
              <w:start w:w="55" w:type="dxa"/>
              <w:bottom w:w="55" w:type="dxa"/>
              <w:end w:w="55" w:type="dxa"/>
            </w:tcMar>
            <w:vAlign w:val="center"/>
          </w:tcPr>
          <w:p>
            <w:pPr>
              <w:spacing w:after="20"/>
            </w:pPr>
            <w:r>
              <w:t>2026 U.S. Electric Vehicle Experience Ownership Study</w:t>
            </w:r>
          </w:p>
        </w:tc>
        <w:tc>
          <w:tcPr>
            <w:tcW w:type="dxa" w:w="2232"/>
            <w:tcMar>
              <w:top w:w="55" w:type="dxa"/>
              <w:start w:w="55" w:type="dxa"/>
              <w:bottom w:w="55" w:type="dxa"/>
              <w:end w:w="55" w:type="dxa"/>
            </w:tcMar>
            <w:vAlign w:val="center"/>
          </w:tcPr>
          <w:p>
            <w:pPr>
              <w:spacing w:after="20"/>
            </w:pPr>
            <w:r>
              <w:t>Latest EV ownership</w:t>
            </w:r>
          </w:p>
        </w:tc>
        <w:tc>
          <w:tcPr>
            <w:tcW w:type="dxa" w:w="3240"/>
            <w:tcMar>
              <w:top w:w="55" w:type="dxa"/>
              <w:start w:w="55" w:type="dxa"/>
              <w:bottom w:w="55" w:type="dxa"/>
              <w:end w:w="55" w:type="dxa"/>
            </w:tcMar>
            <w:vAlign w:val="center"/>
          </w:tcPr>
          <w:p>
            <w:pPr>
              <w:spacing w:after="20"/>
            </w:pPr>
            <w:r>
              <w:t>EV service retention</w:t>
            </w:r>
          </w:p>
        </w:tc>
      </w:tr>
      <w:tr>
        <w:tc>
          <w:tcPr>
            <w:tcW w:type="dxa" w:w="504"/>
            <w:tcMar>
              <w:top w:w="55" w:type="dxa"/>
              <w:start w:w="55" w:type="dxa"/>
              <w:bottom w:w="55" w:type="dxa"/>
              <w:end w:w="55" w:type="dxa"/>
            </w:tcMar>
            <w:shd w:fill="D9EAF7"/>
            <w:vAlign w:val="center"/>
          </w:tcPr>
          <w:p>
            <w:pPr>
              <w:spacing w:after="20"/>
            </w:pPr>
            <w:r>
              <w:rPr>
                <w:b/>
              </w:rPr>
              <w:t>8</w:t>
            </w:r>
          </w:p>
        </w:tc>
        <w:tc>
          <w:tcPr>
            <w:tcW w:type="dxa" w:w="4320"/>
            <w:tcMar>
              <w:top w:w="55" w:type="dxa"/>
              <w:start w:w="55" w:type="dxa"/>
              <w:bottom w:w="55" w:type="dxa"/>
              <w:end w:w="55" w:type="dxa"/>
            </w:tcMar>
            <w:vAlign w:val="center"/>
          </w:tcPr>
          <w:p>
            <w:pPr>
              <w:spacing w:after="20"/>
            </w:pPr>
            <w:r>
              <w:t>2025 U.S. Electric Vehicle Experience Ownership Study</w:t>
            </w:r>
          </w:p>
        </w:tc>
        <w:tc>
          <w:tcPr>
            <w:tcW w:type="dxa" w:w="2232"/>
            <w:tcMar>
              <w:top w:w="55" w:type="dxa"/>
              <w:start w:w="55" w:type="dxa"/>
              <w:bottom w:w="55" w:type="dxa"/>
              <w:end w:w="55" w:type="dxa"/>
            </w:tcMar>
            <w:vAlign w:val="center"/>
          </w:tcPr>
          <w:p>
            <w:pPr>
              <w:spacing w:after="20"/>
            </w:pPr>
            <w:r>
              <w:t>EV onboarding</w:t>
            </w:r>
          </w:p>
        </w:tc>
        <w:tc>
          <w:tcPr>
            <w:tcW w:type="dxa" w:w="3240"/>
            <w:tcMar>
              <w:top w:w="55" w:type="dxa"/>
              <w:start w:w="55" w:type="dxa"/>
              <w:bottom w:w="55" w:type="dxa"/>
              <w:end w:w="55" w:type="dxa"/>
            </w:tcMar>
            <w:vAlign w:val="center"/>
          </w:tcPr>
          <w:p>
            <w:pPr>
              <w:spacing w:after="20"/>
            </w:pPr>
            <w:r>
              <w:t>First-time EV support</w:t>
            </w:r>
          </w:p>
        </w:tc>
      </w:tr>
      <w:tr>
        <w:tc>
          <w:tcPr>
            <w:tcW w:type="dxa" w:w="504"/>
            <w:tcMar>
              <w:top w:w="55" w:type="dxa"/>
              <w:start w:w="55" w:type="dxa"/>
              <w:bottom w:w="55" w:type="dxa"/>
              <w:end w:w="55" w:type="dxa"/>
            </w:tcMar>
            <w:shd w:fill="D9EAF7"/>
            <w:vAlign w:val="center"/>
          </w:tcPr>
          <w:p>
            <w:pPr>
              <w:spacing w:after="20"/>
            </w:pPr>
            <w:r>
              <w:rPr>
                <w:b/>
              </w:rPr>
              <w:t>9</w:t>
            </w:r>
          </w:p>
        </w:tc>
        <w:tc>
          <w:tcPr>
            <w:tcW w:type="dxa" w:w="4320"/>
            <w:tcMar>
              <w:top w:w="55" w:type="dxa"/>
              <w:start w:w="55" w:type="dxa"/>
              <w:bottom w:w="55" w:type="dxa"/>
              <w:end w:w="55" w:type="dxa"/>
            </w:tcMar>
            <w:vAlign w:val="center"/>
          </w:tcPr>
          <w:p>
            <w:pPr>
              <w:spacing w:after="20"/>
            </w:pPr>
            <w:r>
              <w:t>2025 U.S. Sales Satisfaction Index Study</w:t>
            </w:r>
          </w:p>
        </w:tc>
        <w:tc>
          <w:tcPr>
            <w:tcW w:type="dxa" w:w="2232"/>
            <w:tcMar>
              <w:top w:w="55" w:type="dxa"/>
              <w:start w:w="55" w:type="dxa"/>
              <w:bottom w:w="55" w:type="dxa"/>
              <w:end w:w="55" w:type="dxa"/>
            </w:tcMar>
            <w:vAlign w:val="center"/>
          </w:tcPr>
          <w:p>
            <w:pPr>
              <w:spacing w:after="20"/>
            </w:pPr>
            <w:r>
              <w:t>Sales-to-service handoff</w:t>
            </w:r>
          </w:p>
        </w:tc>
        <w:tc>
          <w:tcPr>
            <w:tcW w:type="dxa" w:w="3240"/>
            <w:tcMar>
              <w:top w:w="55" w:type="dxa"/>
              <w:start w:w="55" w:type="dxa"/>
              <w:bottom w:w="55" w:type="dxa"/>
              <w:end w:w="55" w:type="dxa"/>
            </w:tcMar>
            <w:vAlign w:val="center"/>
          </w:tcPr>
          <w:p>
            <w:pPr>
              <w:spacing w:after="20"/>
            </w:pPr>
            <w:r>
              <w:t>First-service conversion</w:t>
            </w:r>
          </w:p>
        </w:tc>
      </w:tr>
      <w:tr>
        <w:tc>
          <w:tcPr>
            <w:tcW w:type="dxa" w:w="504"/>
            <w:tcMar>
              <w:top w:w="55" w:type="dxa"/>
              <w:start w:w="55" w:type="dxa"/>
              <w:bottom w:w="55" w:type="dxa"/>
              <w:end w:w="55" w:type="dxa"/>
            </w:tcMar>
            <w:shd w:fill="D9EAF7"/>
            <w:vAlign w:val="center"/>
          </w:tcPr>
          <w:p>
            <w:pPr>
              <w:spacing w:after="20"/>
            </w:pPr>
            <w:r>
              <w:rPr>
                <w:b/>
              </w:rPr>
              <w:t>10</w:t>
            </w:r>
          </w:p>
        </w:tc>
        <w:tc>
          <w:tcPr>
            <w:tcW w:type="dxa" w:w="4320"/>
            <w:tcMar>
              <w:top w:w="55" w:type="dxa"/>
              <w:start w:w="55" w:type="dxa"/>
              <w:bottom w:w="55" w:type="dxa"/>
              <w:end w:w="55" w:type="dxa"/>
            </w:tcMar>
            <w:vAlign w:val="center"/>
          </w:tcPr>
          <w:p>
            <w:pPr>
              <w:spacing w:after="20"/>
            </w:pPr>
            <w:r>
              <w:t>2026 Urban Science Harris Poll Report</w:t>
            </w:r>
          </w:p>
        </w:tc>
        <w:tc>
          <w:tcPr>
            <w:tcW w:type="dxa" w:w="2232"/>
            <w:tcMar>
              <w:top w:w="55" w:type="dxa"/>
              <w:start w:w="55" w:type="dxa"/>
              <w:bottom w:w="55" w:type="dxa"/>
              <w:end w:w="55" w:type="dxa"/>
            </w:tcMar>
            <w:vAlign w:val="center"/>
          </w:tcPr>
          <w:p>
            <w:pPr>
              <w:spacing w:after="20"/>
            </w:pPr>
            <w:r>
              <w:t>Service network and MPI</w:t>
            </w:r>
          </w:p>
        </w:tc>
        <w:tc>
          <w:tcPr>
            <w:tcW w:type="dxa" w:w="3240"/>
            <w:tcMar>
              <w:top w:w="55" w:type="dxa"/>
              <w:start w:w="55" w:type="dxa"/>
              <w:bottom w:w="55" w:type="dxa"/>
              <w:end w:w="55" w:type="dxa"/>
            </w:tcMar>
            <w:vAlign w:val="center"/>
          </w:tcPr>
          <w:p>
            <w:pPr>
              <w:spacing w:after="20"/>
            </w:pPr>
            <w:r>
              <w:t>Local service and declined-work strategy</w:t>
            </w:r>
          </w:p>
        </w:tc>
      </w:tr>
    </w:tbl>
    <w:p>
      <w:r>
        <w:br w:type="page"/>
      </w:r>
    </w:p>
    <w:p>
      <w:pPr>
        <w:pStyle w:val="Title"/>
      </w:pPr>
      <w:r>
        <w:t>1. 2026 Dealership Service Retention Report</w:t>
      </w:r>
    </w:p>
    <w:tbl>
      <w:tblPr>
        <w:tblW w:type="auto" w:w="0"/>
        <w:jc w:val="center"/>
        <w:tblLook w:firstColumn="1" w:firstRow="1" w:lastColumn="0" w:lastRow="0" w:noHBand="0" w:noVBand="1" w:val="04A0"/>
      </w:tblPr>
      <w:tblGrid>
        <w:gridCol w:w="3408"/>
        <w:gridCol w:w="3408"/>
        <w:gridCol w:w="3408"/>
      </w:tblGrid>
      <w:tr>
        <w:tc>
          <w:tcPr>
            <w:tcW w:type="dxa" w:w="3408"/>
            <w:shd w:fill="D9EAF7"/>
            <w:tcMar>
              <w:top w:w="65" w:type="dxa"/>
              <w:start w:w="65" w:type="dxa"/>
              <w:bottom w:w="65" w:type="dxa"/>
              <w:end w:w="65" w:type="dxa"/>
            </w:tcMar>
            <w:vAlign w:val="center"/>
          </w:tcPr>
          <w:p>
            <w:pPr>
              <w:spacing w:after="20"/>
            </w:pPr>
            <w:r>
              <w:rPr>
                <w:b/>
              </w:rPr>
              <w:t>Publisher</w:t>
            </w:r>
          </w:p>
        </w:tc>
        <w:tc>
          <w:tcPr>
            <w:tcW w:type="dxa" w:w="3408"/>
            <w:shd w:fill="D9EAF7"/>
            <w:tcMar>
              <w:top w:w="65" w:type="dxa"/>
              <w:start w:w="65" w:type="dxa"/>
              <w:bottom w:w="65" w:type="dxa"/>
              <w:end w:w="65" w:type="dxa"/>
            </w:tcMar>
            <w:vAlign w:val="center"/>
          </w:tcPr>
          <w:p>
            <w:pPr>
              <w:spacing w:after="20"/>
            </w:pPr>
            <w:r>
              <w:rPr>
                <w:b/>
              </w:rPr>
              <w:t>Publication / field period</w:t>
            </w:r>
          </w:p>
        </w:tc>
        <w:tc>
          <w:tcPr>
            <w:tcW w:type="dxa" w:w="3408"/>
            <w:shd w:fill="D9EAF7"/>
            <w:tcMar>
              <w:top w:w="65" w:type="dxa"/>
              <w:start w:w="65" w:type="dxa"/>
              <w:bottom w:w="65" w:type="dxa"/>
              <w:end w:w="65" w:type="dxa"/>
            </w:tcMar>
            <w:vAlign w:val="center"/>
          </w:tcPr>
          <w:p>
            <w:pPr>
              <w:spacing w:after="20"/>
            </w:pPr>
            <w:r>
              <w:rPr>
                <w:b/>
              </w:rPr>
              <w:t>Why selected</w:t>
            </w:r>
          </w:p>
        </w:tc>
      </w:tr>
      <w:tr>
        <w:tc>
          <w:tcPr>
            <w:tcW w:type="dxa" w:w="3408"/>
            <w:tcMar>
              <w:top w:w="65" w:type="dxa"/>
              <w:start w:w="65" w:type="dxa"/>
              <w:bottom w:w="65" w:type="dxa"/>
              <w:end w:w="65" w:type="dxa"/>
            </w:tcMar>
            <w:vAlign w:val="center"/>
          </w:tcPr>
          <w:p>
            <w:pPr>
              <w:spacing w:after="20"/>
            </w:pPr>
            <w:r>
              <w:t>DriveSure</w:t>
            </w:r>
          </w:p>
        </w:tc>
        <w:tc>
          <w:tcPr>
            <w:tcW w:type="dxa" w:w="3408"/>
            <w:tcMar>
              <w:top w:w="65" w:type="dxa"/>
              <w:start w:w="65" w:type="dxa"/>
              <w:bottom w:w="65" w:type="dxa"/>
              <w:end w:w="65" w:type="dxa"/>
            </w:tcMar>
            <w:vAlign w:val="center"/>
          </w:tcPr>
          <w:p>
            <w:pPr>
              <w:spacing w:after="20"/>
            </w:pPr>
            <w:r>
              <w:t>2026; based on a 2025 survey of 1,277 U.S. vehicle owners</w:t>
            </w:r>
          </w:p>
        </w:tc>
        <w:tc>
          <w:tcPr>
            <w:tcW w:type="dxa" w:w="3408"/>
            <w:tcMar>
              <w:top w:w="65" w:type="dxa"/>
              <w:start w:w="65" w:type="dxa"/>
              <w:bottom w:w="65" w:type="dxa"/>
              <w:end w:w="65" w:type="dxa"/>
            </w:tcMar>
            <w:vAlign w:val="center"/>
          </w:tcPr>
          <w:p>
            <w:pPr>
              <w:spacing w:after="20"/>
            </w:pPr>
            <w:r>
              <w:t>Directly examines what keeps customers loyal to dealership service departments and what causes them to leave.</w:t>
            </w:r>
          </w:p>
        </w:tc>
      </w:tr>
    </w:tbl>
    <w:p>
      <w:pPr>
        <w:pStyle w:val="Heading2"/>
      </w:pPr>
      <w:r>
        <w:t>Key source findings</w:t>
      </w:r>
    </w:p>
    <w:p>
      <w:pPr>
        <w:pStyle w:val="ListBullet"/>
        <w:spacing w:after="40"/>
        <w:ind w:left="288" w:hanging="173"/>
      </w:pPr>
      <w:r>
        <w:t>The research covers quality of work, price, customer experience, communication preferences, mobile service and value-added amenities.</w:t>
      </w:r>
    </w:p>
    <w:p>
      <w:pPr>
        <w:pStyle w:val="ListBullet"/>
        <w:spacing w:after="40"/>
        <w:ind w:left="288" w:hanging="173"/>
      </w:pPr>
      <w:r>
        <w:t>Price became more influential in service decisions compared with prior DriveSure reports.</w:t>
      </w:r>
    </w:p>
    <w:p>
      <w:pPr>
        <w:pStyle w:val="ListBullet"/>
        <w:spacing w:after="40"/>
        <w:ind w:left="288" w:hanging="173"/>
      </w:pPr>
      <w:r>
        <w:t>Text messaging continued to rise as a preferred communication channel.</w:t>
      </w:r>
    </w:p>
    <w:p>
      <w:pPr>
        <w:pStyle w:val="ListBullet"/>
        <w:spacing w:after="40"/>
        <w:ind w:left="288" w:hanging="173"/>
      </w:pPr>
      <w:r>
        <w:t>Mobile service and video inspections were identified as opportunities with low customer awareness.</w:t>
      </w:r>
    </w:p>
    <w:p>
      <w:pPr>
        <w:pStyle w:val="ListBullet"/>
        <w:spacing w:after="40"/>
        <w:ind w:left="288" w:hanging="173"/>
      </w:pPr>
      <w:r>
        <w:t>Nearly half of service customers indicated plans to purchase their next vehicle from the dealership where they currently service.</w:t>
      </w:r>
    </w:p>
    <w:p>
      <w:pPr>
        <w:pStyle w:val="Heading2"/>
      </w:pPr>
      <w:r>
        <w:t>Service-retention segments</w:t>
      </w:r>
    </w:p>
    <w:tbl>
      <w:tblPr>
        <w:tblW w:type="auto" w:w="0"/>
        <w:jc w:val="center"/>
        <w:tblLook w:firstColumn="1" w:firstRow="1" w:lastColumn="0" w:lastRow="0" w:noHBand="0" w:noVBand="1" w:val="04A0"/>
      </w:tblPr>
      <w:tblGrid>
        <w:gridCol w:w="3408"/>
        <w:gridCol w:w="3408"/>
        <w:gridCol w:w="3408"/>
      </w:tblGrid>
      <w:tr>
        <w:tc>
          <w:tcPr>
            <w:tcW w:type="dxa" w:w="3408"/>
            <w:shd w:fill="EAF2F8"/>
            <w:tcMar>
              <w:top w:w="80" w:type="dxa"/>
              <w:start w:w="80" w:type="dxa"/>
              <w:bottom w:w="80" w:type="dxa"/>
              <w:end w:w="80" w:type="dxa"/>
            </w:tcMar>
            <w:vAlign w:val="center"/>
          </w:tcPr>
          <w:p>
            <w:pPr>
              <w:spacing w:after="20"/>
            </w:pPr>
            <w:r>
              <w:t>• Quality-first loyalist</w:t>
              <w:br/>
              <w:t>• Price-sensitive risk</w:t>
            </w:r>
          </w:p>
        </w:tc>
        <w:tc>
          <w:tcPr>
            <w:tcW w:type="dxa" w:w="3408"/>
            <w:shd w:fill="D9EAF7"/>
            <w:tcMar>
              <w:top w:w="80" w:type="dxa"/>
              <w:start w:w="80" w:type="dxa"/>
              <w:bottom w:w="80" w:type="dxa"/>
              <w:end w:w="80" w:type="dxa"/>
            </w:tcMar>
            <w:vAlign w:val="center"/>
          </w:tcPr>
          <w:p>
            <w:pPr>
              <w:spacing w:after="20"/>
            </w:pPr>
            <w:r>
              <w:t>• Communication-preference mismatch</w:t>
              <w:br/>
              <w:t>• Mobile-service candidate</w:t>
            </w:r>
          </w:p>
        </w:tc>
        <w:tc>
          <w:tcPr>
            <w:tcW w:type="dxa" w:w="3408"/>
            <w:shd w:fill="EAF2F8"/>
            <w:tcMar>
              <w:top w:w="80" w:type="dxa"/>
              <w:start w:w="80" w:type="dxa"/>
              <w:bottom w:w="80" w:type="dxa"/>
              <w:end w:w="80" w:type="dxa"/>
            </w:tcMar>
            <w:vAlign w:val="center"/>
          </w:tcPr>
          <w:p>
            <w:pPr>
              <w:spacing w:after="20"/>
            </w:pPr>
            <w:r>
              <w:t>• Video-inspection opportunity</w:t>
              <w:br/>
              <w:t>• Tire and routine-maintenance leakage</w:t>
            </w:r>
          </w:p>
        </w:tc>
      </w:tr>
    </w:tbl>
    <w:p>
      <w:pPr>
        <w:pStyle w:val="Heading2"/>
      </w:pPr>
      <w:r>
        <w:t>Recommended journey</w:t>
      </w:r>
    </w:p>
    <w:p>
      <w:r>
        <w:t>Active dealer customer → value/communication monitoring → emerging risk diagnosis → tailored service benefit or convenience treatment → booked service → post-service satisfaction → next-service retention.</w:t>
      </w:r>
    </w:p>
    <w:p>
      <w:pPr>
        <w:pStyle w:val="Heading2"/>
      </w:pPr>
      <w:r>
        <w:t>Application recommendations</w:t>
      </w:r>
    </w:p>
    <w:p>
      <w:pPr>
        <w:pStyle w:val="ListBullet"/>
        <w:spacing w:after="40"/>
        <w:ind w:left="288" w:hanging="173"/>
      </w:pPr>
      <w:r>
        <w:t>Capture the preferred service-update channel and honor it.</w:t>
      </w:r>
    </w:p>
    <w:p>
      <w:pPr>
        <w:pStyle w:val="ListBullet"/>
        <w:spacing w:after="40"/>
        <w:ind w:left="288" w:hanging="173"/>
      </w:pPr>
      <w:r>
        <w:t>Promote mobile service and video inspections only to eligible customers and locations.</w:t>
      </w:r>
    </w:p>
    <w:p>
      <w:pPr>
        <w:pStyle w:val="ListBullet"/>
        <w:spacing w:after="40"/>
        <w:ind w:left="288" w:hanging="173"/>
      </w:pPr>
      <w:r>
        <w:t>Separate price sensitivity from lack of price transparency.</w:t>
      </w:r>
    </w:p>
    <w:p>
      <w:pPr>
        <w:pStyle w:val="ListBullet"/>
        <w:spacing w:after="40"/>
        <w:ind w:left="288" w:hanging="173"/>
      </w:pPr>
      <w:r>
        <w:t>Track tire and routine-maintenance work lost outside the dealership.</w:t>
      </w:r>
    </w:p>
    <w:tbl>
      <w:tblPr>
        <w:tblW w:type="auto" w:w="0"/>
        <w:tblLook w:firstColumn="1" w:firstRow="1" w:lastColumn="0" w:lastRow="0" w:noHBand="0" w:noVBand="1" w:val="04A0"/>
      </w:tblPr>
      <w:tblGrid>
        <w:gridCol w:w="10224"/>
      </w:tblGrid>
      <w:tr>
        <w:tc>
          <w:tcPr>
            <w:tcW w:type="dxa" w:w="10224"/>
            <w:shd w:fill="FFF2CC"/>
            <w:tcMar>
              <w:top w:w="100" w:type="dxa"/>
              <w:start w:w="100" w:type="dxa"/>
              <w:bottom w:w="100" w:type="dxa"/>
              <w:end w:w="100" w:type="dxa"/>
            </w:tcMar>
            <w:vAlign w:val="center"/>
          </w:tcPr>
          <w:p>
            <w:pPr>
              <w:spacing w:after="20"/>
            </w:pPr>
            <w:r>
              <w:rPr>
                <w:b/>
                <w:color w:val="7F6000"/>
              </w:rPr>
              <w:t xml:space="preserve">Limitation: </w:t>
            </w:r>
            <w:r>
              <w:t>The complete report requires registration. Public materials provide study scope and highlighted findings.</w:t>
            </w:r>
          </w:p>
        </w:tc>
      </w:tr>
    </w:tbl>
    <w:p>
      <w:pPr>
        <w:pStyle w:val="SourceLink"/>
      </w:pPr>
      <w:r>
        <w:rPr>
          <w:b/>
        </w:rPr>
        <w:t xml:space="preserve">Original source: </w:t>
      </w:r>
      <w:hyperlink r:id="rId11">
        <w:r>
          <w:rPr>
            <w:color w:val="0563C1"/>
            <w:u w:val="single"/>
          </w:rPr>
          <w:t>2026 Dealership Service Retention Report</w:t>
        </w:r>
      </w:hyperlink>
    </w:p>
    <w:p>
      <w:r>
        <w:br w:type="page"/>
      </w:r>
    </w:p>
    <w:p>
      <w:pPr>
        <w:pStyle w:val="Title"/>
      </w:pPr>
      <w:r>
        <w:t>2. Consumer Sentiment Survey: Changing Auto Service Dynamics Benchmark</w:t>
      </w:r>
    </w:p>
    <w:tbl>
      <w:tblPr>
        <w:tblW w:type="auto" w:w="0"/>
        <w:jc w:val="center"/>
        <w:tblLook w:firstColumn="1" w:firstRow="1" w:lastColumn="0" w:lastRow="0" w:noHBand="0" w:noVBand="1" w:val="04A0"/>
      </w:tblPr>
      <w:tblGrid>
        <w:gridCol w:w="3408"/>
        <w:gridCol w:w="3408"/>
        <w:gridCol w:w="3408"/>
      </w:tblGrid>
      <w:tr>
        <w:tc>
          <w:tcPr>
            <w:tcW w:type="dxa" w:w="3408"/>
            <w:shd w:fill="D9EAF7"/>
            <w:tcMar>
              <w:top w:w="65" w:type="dxa"/>
              <w:start w:w="65" w:type="dxa"/>
              <w:bottom w:w="65" w:type="dxa"/>
              <w:end w:w="65" w:type="dxa"/>
            </w:tcMar>
            <w:vAlign w:val="center"/>
          </w:tcPr>
          <w:p>
            <w:pPr>
              <w:spacing w:after="20"/>
            </w:pPr>
            <w:r>
              <w:rPr>
                <w:b/>
              </w:rPr>
              <w:t>Publisher</w:t>
            </w:r>
          </w:p>
        </w:tc>
        <w:tc>
          <w:tcPr>
            <w:tcW w:type="dxa" w:w="3408"/>
            <w:shd w:fill="D9EAF7"/>
            <w:tcMar>
              <w:top w:w="65" w:type="dxa"/>
              <w:start w:w="65" w:type="dxa"/>
              <w:bottom w:w="65" w:type="dxa"/>
              <w:end w:w="65" w:type="dxa"/>
            </w:tcMar>
            <w:vAlign w:val="center"/>
          </w:tcPr>
          <w:p>
            <w:pPr>
              <w:spacing w:after="20"/>
            </w:pPr>
            <w:r>
              <w:rPr>
                <w:b/>
              </w:rPr>
              <w:t>Publication / field period</w:t>
            </w:r>
          </w:p>
        </w:tc>
        <w:tc>
          <w:tcPr>
            <w:tcW w:type="dxa" w:w="3408"/>
            <w:shd w:fill="D9EAF7"/>
            <w:tcMar>
              <w:top w:w="65" w:type="dxa"/>
              <w:start w:w="65" w:type="dxa"/>
              <w:bottom w:w="65" w:type="dxa"/>
              <w:end w:w="65" w:type="dxa"/>
            </w:tcMar>
            <w:vAlign w:val="center"/>
          </w:tcPr>
          <w:p>
            <w:pPr>
              <w:spacing w:after="20"/>
            </w:pPr>
            <w:r>
              <w:rPr>
                <w:b/>
              </w:rPr>
              <w:t>Why selected</w:t>
            </w:r>
          </w:p>
        </w:tc>
      </w:tr>
      <w:tr>
        <w:tc>
          <w:tcPr>
            <w:tcW w:type="dxa" w:w="3408"/>
            <w:tcMar>
              <w:top w:w="65" w:type="dxa"/>
              <w:start w:w="65" w:type="dxa"/>
              <w:bottom w:w="65" w:type="dxa"/>
              <w:end w:w="65" w:type="dxa"/>
            </w:tcMar>
            <w:vAlign w:val="center"/>
          </w:tcPr>
          <w:p>
            <w:pPr>
              <w:spacing w:after="20"/>
            </w:pPr>
            <w:r>
              <w:t>Ducker Carlisle</w:t>
            </w:r>
          </w:p>
        </w:tc>
        <w:tc>
          <w:tcPr>
            <w:tcW w:type="dxa" w:w="3408"/>
            <w:tcMar>
              <w:top w:w="65" w:type="dxa"/>
              <w:start w:w="65" w:type="dxa"/>
              <w:bottom w:w="65" w:type="dxa"/>
              <w:end w:w="65" w:type="dxa"/>
            </w:tcMar>
            <w:vAlign w:val="center"/>
          </w:tcPr>
          <w:p>
            <w:pPr>
              <w:spacing w:after="20"/>
            </w:pPr>
            <w:r>
              <w:t>2026</w:t>
            </w:r>
          </w:p>
        </w:tc>
        <w:tc>
          <w:tcPr>
            <w:tcW w:type="dxa" w:w="3408"/>
            <w:tcMar>
              <w:top w:w="65" w:type="dxa"/>
              <w:start w:w="65" w:type="dxa"/>
              <w:bottom w:w="65" w:type="dxa"/>
              <w:end w:w="65" w:type="dxa"/>
            </w:tcMar>
            <w:vAlign w:val="center"/>
          </w:tcPr>
          <w:p>
            <w:pPr>
              <w:spacing w:after="20"/>
            </w:pPr>
            <w:r>
              <w:t>Benchmarks the structural shift in routine service from dealerships to chains and identifies customer-retention drivers.</w:t>
            </w:r>
          </w:p>
        </w:tc>
      </w:tr>
    </w:tbl>
    <w:p>
      <w:pPr>
        <w:pStyle w:val="Heading2"/>
      </w:pPr>
      <w:r>
        <w:t>Key source findings</w:t>
      </w:r>
    </w:p>
    <w:p>
      <w:pPr>
        <w:pStyle w:val="ListBullet"/>
        <w:spacing w:after="40"/>
        <w:ind w:left="288" w:hanging="173"/>
      </w:pPr>
      <w:r>
        <w:t>The public report page states dealer service retention fell from 39% in 2019 to 36% in the current benchmark.</w:t>
      </w:r>
    </w:p>
    <w:p>
      <w:pPr>
        <w:pStyle w:val="ListBullet"/>
        <w:spacing w:after="40"/>
        <w:ind w:left="288" w:hanging="173"/>
      </w:pPr>
      <w:r>
        <w:t>It reports a 22-point channel-share swing from dealers to chains over five years.</w:t>
      </w:r>
    </w:p>
    <w:p>
      <w:pPr>
        <w:pStyle w:val="ListBullet"/>
        <w:spacing w:after="40"/>
        <w:ind w:left="288" w:hanging="173"/>
      </w:pPr>
      <w:r>
        <w:t>Quick-lube and tire chains gained on convenience, walk-in availability and financing.</w:t>
      </w:r>
    </w:p>
    <w:p>
      <w:pPr>
        <w:pStyle w:val="ListBullet"/>
        <w:spacing w:after="40"/>
        <w:ind w:left="288" w:hanging="173"/>
      </w:pPr>
      <w:r>
        <w:t>Dealers led on technical quality and first-time-fix performance, but the report says the market does not fully recognize that advantage.</w:t>
      </w:r>
    </w:p>
    <w:p>
      <w:pPr>
        <w:pStyle w:val="ListBullet"/>
        <w:spacing w:after="40"/>
        <w:ind w:left="288" w:hanging="173"/>
      </w:pPr>
      <w:r>
        <w:t>The benchmark is described as drawing on more than 100,000 service interactions.</w:t>
      </w:r>
    </w:p>
    <w:p>
      <w:pPr>
        <w:pStyle w:val="Heading2"/>
      </w:pPr>
      <w:r>
        <w:t>Service-retention segments</w:t>
      </w:r>
    </w:p>
    <w:tbl>
      <w:tblPr>
        <w:tblW w:type="auto" w:w="0"/>
        <w:jc w:val="center"/>
        <w:tblLook w:firstColumn="1" w:firstRow="1" w:lastColumn="0" w:lastRow="0" w:noHBand="0" w:noVBand="1" w:val="04A0"/>
      </w:tblPr>
      <w:tblGrid>
        <w:gridCol w:w="3408"/>
        <w:gridCol w:w="3408"/>
        <w:gridCol w:w="3408"/>
      </w:tblGrid>
      <w:tr>
        <w:tc>
          <w:tcPr>
            <w:tcW w:type="dxa" w:w="3408"/>
            <w:shd w:fill="EAF2F8"/>
            <w:tcMar>
              <w:top w:w="80" w:type="dxa"/>
              <w:start w:w="80" w:type="dxa"/>
              <w:bottom w:w="80" w:type="dxa"/>
              <w:end w:w="80" w:type="dxa"/>
            </w:tcMar>
            <w:vAlign w:val="center"/>
          </w:tcPr>
          <w:p>
            <w:pPr>
              <w:spacing w:after="20"/>
            </w:pPr>
            <w:r>
              <w:t>• Walk-in convenience seeker</w:t>
              <w:br/>
              <w:t>• Financing-motivated chain user</w:t>
            </w:r>
          </w:p>
        </w:tc>
        <w:tc>
          <w:tcPr>
            <w:tcW w:type="dxa" w:w="3408"/>
            <w:shd w:fill="D9EAF7"/>
            <w:tcMar>
              <w:top w:w="80" w:type="dxa"/>
              <w:start w:w="80" w:type="dxa"/>
              <w:bottom w:w="80" w:type="dxa"/>
              <w:end w:w="80" w:type="dxa"/>
            </w:tcMar>
            <w:vAlign w:val="center"/>
          </w:tcPr>
          <w:p>
            <w:pPr>
              <w:spacing w:after="20"/>
            </w:pPr>
            <w:r>
              <w:t>• Dealer-quality unaware</w:t>
              <w:br/>
              <w:t>• Routine-service channel switcher</w:t>
            </w:r>
          </w:p>
        </w:tc>
        <w:tc>
          <w:tcPr>
            <w:tcW w:type="dxa" w:w="3408"/>
            <w:shd w:fill="EAF2F8"/>
            <w:tcMar>
              <w:top w:w="80" w:type="dxa"/>
              <w:start w:w="80" w:type="dxa"/>
              <w:bottom w:w="80" w:type="dxa"/>
              <w:end w:w="80" w:type="dxa"/>
            </w:tcMar>
            <w:vAlign w:val="center"/>
          </w:tcPr>
          <w:p>
            <w:pPr>
              <w:spacing w:after="20"/>
            </w:pPr>
            <w:r>
              <w:t>• First-time-fix loyalist</w:t>
            </w:r>
          </w:p>
        </w:tc>
      </w:tr>
    </w:tbl>
    <w:p>
      <w:pPr>
        <w:pStyle w:val="Heading2"/>
      </w:pPr>
      <w:r>
        <w:t>Recommended journey</w:t>
      </w:r>
    </w:p>
    <w:p>
      <w:r>
        <w:t>Routine-service need → channel consideration → convenience/financing/quality evaluation → provider choice → service outcome → next-visit retention or switch.</w:t>
      </w:r>
    </w:p>
    <w:p>
      <w:pPr>
        <w:pStyle w:val="Heading2"/>
      </w:pPr>
      <w:r>
        <w:t>Application recommendations</w:t>
      </w:r>
    </w:p>
    <w:p>
      <w:pPr>
        <w:pStyle w:val="ListBullet"/>
        <w:spacing w:after="40"/>
        <w:ind w:left="288" w:hanging="173"/>
      </w:pPr>
      <w:r>
        <w:t>Make quality and first-time-fix evidence visible before the visit.</w:t>
      </w:r>
    </w:p>
    <w:p>
      <w:pPr>
        <w:pStyle w:val="ListBullet"/>
        <w:spacing w:after="40"/>
        <w:ind w:left="288" w:hanging="173"/>
      </w:pPr>
      <w:r>
        <w:t>Offer realistic scheduling and walk-in options where operations support them.</w:t>
      </w:r>
    </w:p>
    <w:p>
      <w:pPr>
        <w:pStyle w:val="ListBullet"/>
        <w:spacing w:after="40"/>
        <w:ind w:left="288" w:hanging="173"/>
      </w:pPr>
      <w:r>
        <w:t>Evaluate service-payment options under appropriate compliance controls.</w:t>
      </w:r>
    </w:p>
    <w:p>
      <w:pPr>
        <w:pStyle w:val="ListBullet"/>
        <w:spacing w:after="40"/>
        <w:ind w:left="288" w:hanging="173"/>
      </w:pPr>
      <w:r>
        <w:t>Benchmark channel loss by service category, not only total repair orders.</w:t>
      </w:r>
    </w:p>
    <w:tbl>
      <w:tblPr>
        <w:tblW w:type="auto" w:w="0"/>
        <w:tblLook w:firstColumn="1" w:firstRow="1" w:lastColumn="0" w:lastRow="0" w:noHBand="0" w:noVBand="1" w:val="04A0"/>
      </w:tblPr>
      <w:tblGrid>
        <w:gridCol w:w="10224"/>
      </w:tblGrid>
      <w:tr>
        <w:tc>
          <w:tcPr>
            <w:tcW w:type="dxa" w:w="10224"/>
            <w:shd w:fill="FFF2CC"/>
            <w:tcMar>
              <w:top w:w="100" w:type="dxa"/>
              <w:start w:w="100" w:type="dxa"/>
              <w:bottom w:w="100" w:type="dxa"/>
              <w:end w:w="100" w:type="dxa"/>
            </w:tcMar>
            <w:vAlign w:val="center"/>
          </w:tcPr>
          <w:p>
            <w:pPr>
              <w:spacing w:after="20"/>
            </w:pPr>
            <w:r>
              <w:rPr>
                <w:b/>
                <w:color w:val="7F6000"/>
              </w:rPr>
              <w:t xml:space="preserve">Limitation: </w:t>
            </w:r>
            <w:r>
              <w:t>The public page provides headline findings; detailed cross-tabs require downloading the report.</w:t>
            </w:r>
          </w:p>
        </w:tc>
      </w:tr>
    </w:tbl>
    <w:p>
      <w:pPr>
        <w:pStyle w:val="SourceLink"/>
      </w:pPr>
      <w:r>
        <w:rPr>
          <w:b/>
        </w:rPr>
        <w:t xml:space="preserve">Original source: </w:t>
      </w:r>
      <w:hyperlink r:id="rId12">
        <w:r>
          <w:rPr>
            <w:color w:val="0563C1"/>
            <w:u w:val="single"/>
          </w:rPr>
          <w:t>Consumer Sentiment Survey: Changing Auto Service Dynamics Benchmark</w:t>
        </w:r>
      </w:hyperlink>
    </w:p>
    <w:p>
      <w:r>
        <w:br w:type="page"/>
      </w:r>
    </w:p>
    <w:p>
      <w:pPr>
        <w:pStyle w:val="Title"/>
      </w:pPr>
      <w:r>
        <w:t>3. 2025 Automotive Service Industry Study</w:t>
      </w:r>
    </w:p>
    <w:tbl>
      <w:tblPr>
        <w:tblW w:type="auto" w:w="0"/>
        <w:jc w:val="center"/>
        <w:tblLook w:firstColumn="1" w:firstRow="1" w:lastColumn="0" w:lastRow="0" w:noHBand="0" w:noVBand="1" w:val="04A0"/>
      </w:tblPr>
      <w:tblGrid>
        <w:gridCol w:w="3408"/>
        <w:gridCol w:w="3408"/>
        <w:gridCol w:w="3408"/>
      </w:tblGrid>
      <w:tr>
        <w:tc>
          <w:tcPr>
            <w:tcW w:type="dxa" w:w="3408"/>
            <w:shd w:fill="D9EAF7"/>
            <w:tcMar>
              <w:top w:w="65" w:type="dxa"/>
              <w:start w:w="65" w:type="dxa"/>
              <w:bottom w:w="65" w:type="dxa"/>
              <w:end w:w="65" w:type="dxa"/>
            </w:tcMar>
            <w:vAlign w:val="center"/>
          </w:tcPr>
          <w:p>
            <w:pPr>
              <w:spacing w:after="20"/>
            </w:pPr>
            <w:r>
              <w:rPr>
                <w:b/>
              </w:rPr>
              <w:t>Publisher</w:t>
            </w:r>
          </w:p>
        </w:tc>
        <w:tc>
          <w:tcPr>
            <w:tcW w:type="dxa" w:w="3408"/>
            <w:shd w:fill="D9EAF7"/>
            <w:tcMar>
              <w:top w:w="65" w:type="dxa"/>
              <w:start w:w="65" w:type="dxa"/>
              <w:bottom w:w="65" w:type="dxa"/>
              <w:end w:w="65" w:type="dxa"/>
            </w:tcMar>
            <w:vAlign w:val="center"/>
          </w:tcPr>
          <w:p>
            <w:pPr>
              <w:spacing w:after="20"/>
            </w:pPr>
            <w:r>
              <w:rPr>
                <w:b/>
              </w:rPr>
              <w:t>Publication / field period</w:t>
            </w:r>
          </w:p>
        </w:tc>
        <w:tc>
          <w:tcPr>
            <w:tcW w:type="dxa" w:w="3408"/>
            <w:shd w:fill="D9EAF7"/>
            <w:tcMar>
              <w:top w:w="65" w:type="dxa"/>
              <w:start w:w="65" w:type="dxa"/>
              <w:bottom w:w="65" w:type="dxa"/>
              <w:end w:w="65" w:type="dxa"/>
            </w:tcMar>
            <w:vAlign w:val="center"/>
          </w:tcPr>
          <w:p>
            <w:pPr>
              <w:spacing w:after="20"/>
            </w:pPr>
            <w:r>
              <w:rPr>
                <w:b/>
              </w:rPr>
              <w:t>Why selected</w:t>
            </w:r>
          </w:p>
        </w:tc>
      </w:tr>
      <w:tr>
        <w:tc>
          <w:tcPr>
            <w:tcW w:type="dxa" w:w="3408"/>
            <w:tcMar>
              <w:top w:w="65" w:type="dxa"/>
              <w:start w:w="65" w:type="dxa"/>
              <w:bottom w:w="65" w:type="dxa"/>
              <w:end w:w="65" w:type="dxa"/>
            </w:tcMar>
            <w:vAlign w:val="center"/>
          </w:tcPr>
          <w:p>
            <w:pPr>
              <w:spacing w:after="20"/>
            </w:pPr>
            <w:r>
              <w:t>Cox Automotive</w:t>
            </w:r>
          </w:p>
        </w:tc>
        <w:tc>
          <w:tcPr>
            <w:tcW w:type="dxa" w:w="3408"/>
            <w:tcMar>
              <w:top w:w="65" w:type="dxa"/>
              <w:start w:w="65" w:type="dxa"/>
              <w:bottom w:w="65" w:type="dxa"/>
              <w:end w:w="65" w:type="dxa"/>
            </w:tcMar>
            <w:vAlign w:val="center"/>
          </w:tcPr>
          <w:p>
            <w:pPr>
              <w:spacing w:after="20"/>
            </w:pPr>
            <w:r>
              <w:t>November 2025; 1,974 U.S. owners surveyed Apr. 16-May 8, 2025</w:t>
            </w:r>
          </w:p>
        </w:tc>
        <w:tc>
          <w:tcPr>
            <w:tcW w:type="dxa" w:w="3408"/>
            <w:tcMar>
              <w:top w:w="65" w:type="dxa"/>
              <w:start w:w="65" w:type="dxa"/>
              <w:bottom w:w="65" w:type="dxa"/>
              <w:end w:w="65" w:type="dxa"/>
            </w:tcMar>
            <w:vAlign w:val="center"/>
          </w:tcPr>
          <w:p>
            <w:pPr>
              <w:spacing w:after="20"/>
            </w:pPr>
            <w:r>
              <w:t>Provides a comprehensive view of dealer service share, customer frustration, provider preference and service-to-sales value.</w:t>
            </w:r>
          </w:p>
        </w:tc>
      </w:tr>
    </w:tbl>
    <w:p>
      <w:pPr>
        <w:pStyle w:val="Heading2"/>
      </w:pPr>
      <w:r>
        <w:t>Key source findings</w:t>
      </w:r>
    </w:p>
    <w:p>
      <w:pPr>
        <w:pStyle w:val="ListBullet"/>
        <w:spacing w:after="40"/>
        <w:ind w:left="288" w:hanging="173"/>
      </w:pPr>
      <w:r>
        <w:t>Dealer share of service visits was reported at 29% in 2025 versus 33% in 2018.</w:t>
      </w:r>
    </w:p>
    <w:p>
      <w:pPr>
        <w:pStyle w:val="ListBullet"/>
        <w:spacing w:after="40"/>
        <w:ind w:left="288" w:hanging="173"/>
      </w:pPr>
      <w:r>
        <w:t>The decline was greatest among vehicles five years old or newer.</w:t>
      </w:r>
    </w:p>
    <w:p>
      <w:pPr>
        <w:pStyle w:val="ListBullet"/>
        <w:spacing w:after="40"/>
        <w:ind w:left="288" w:hanging="173"/>
      </w:pPr>
      <w:r>
        <w:t>General repair was the most frequently preferred provider in the study, while dealership preference was linked to vehicle knowledge and prior experience.</w:t>
      </w:r>
    </w:p>
    <w:p>
      <w:pPr>
        <w:pStyle w:val="ListBullet"/>
        <w:spacing w:after="40"/>
        <w:ind w:left="288" w:hanging="173"/>
      </w:pPr>
      <w:r>
        <w:t>55% considered competitor price comparison important for a dealership website or app.</w:t>
      </w:r>
    </w:p>
    <w:p>
      <w:pPr>
        <w:pStyle w:val="ListBullet"/>
        <w:spacing w:after="40"/>
        <w:ind w:left="288" w:hanging="173"/>
      </w:pPr>
      <w:r>
        <w:t>The study highlights unexpected cost, communication and convenience as dealer-retention issues.</w:t>
      </w:r>
    </w:p>
    <w:p>
      <w:pPr>
        <w:pStyle w:val="Heading2"/>
      </w:pPr>
      <w:r>
        <w:t>Service-retention segments</w:t>
      </w:r>
    </w:p>
    <w:tbl>
      <w:tblPr>
        <w:tblW w:type="auto" w:w="0"/>
        <w:jc w:val="center"/>
        <w:tblLook w:firstColumn="1" w:firstRow="1" w:lastColumn="0" w:lastRow="0" w:noHBand="0" w:noVBand="1" w:val="04A0"/>
      </w:tblPr>
      <w:tblGrid>
        <w:gridCol w:w="3408"/>
        <w:gridCol w:w="3408"/>
        <w:gridCol w:w="3408"/>
      </w:tblGrid>
      <w:tr>
        <w:tc>
          <w:tcPr>
            <w:tcW w:type="dxa" w:w="3408"/>
            <w:shd w:fill="EAF2F8"/>
            <w:tcMar>
              <w:top w:w="80" w:type="dxa"/>
              <w:start w:w="80" w:type="dxa"/>
              <w:bottom w:w="80" w:type="dxa"/>
              <w:end w:w="80" w:type="dxa"/>
            </w:tcMar>
            <w:vAlign w:val="center"/>
          </w:tcPr>
          <w:p>
            <w:pPr>
              <w:spacing w:after="20"/>
            </w:pPr>
            <w:r>
              <w:t>• First-service risk</w:t>
              <w:br/>
              <w:t>• Under-two-year vehicle defection risk</w:t>
            </w:r>
          </w:p>
        </w:tc>
        <w:tc>
          <w:tcPr>
            <w:tcW w:type="dxa" w:w="3408"/>
            <w:shd w:fill="D9EAF7"/>
            <w:tcMar>
              <w:top w:w="80" w:type="dxa"/>
              <w:start w:w="80" w:type="dxa"/>
              <w:bottom w:w="80" w:type="dxa"/>
              <w:end w:w="80" w:type="dxa"/>
            </w:tcMar>
            <w:vAlign w:val="center"/>
          </w:tcPr>
          <w:p>
            <w:pPr>
              <w:spacing w:after="20"/>
            </w:pPr>
            <w:r>
              <w:t>• Two-to-five-year service risk</w:t>
              <w:br/>
              <w:t>• Price-comparison seeker</w:t>
            </w:r>
          </w:p>
        </w:tc>
        <w:tc>
          <w:tcPr>
            <w:tcW w:type="dxa" w:w="3408"/>
            <w:shd w:fill="EAF2F8"/>
            <w:tcMar>
              <w:top w:w="80" w:type="dxa"/>
              <w:start w:w="80" w:type="dxa"/>
              <w:bottom w:w="80" w:type="dxa"/>
              <w:end w:w="80" w:type="dxa"/>
            </w:tcMar>
            <w:vAlign w:val="center"/>
          </w:tcPr>
          <w:p>
            <w:pPr>
              <w:spacing w:after="20"/>
            </w:pPr>
            <w:r>
              <w:t>• Communication-frustrated owner</w:t>
              <w:br/>
              <w:t>• Dormant service customer</w:t>
            </w:r>
          </w:p>
        </w:tc>
      </w:tr>
    </w:tbl>
    <w:p>
      <w:pPr>
        <w:pStyle w:val="Heading2"/>
      </w:pPr>
      <w:r>
        <w:t>Recommended journey</w:t>
      </w:r>
    </w:p>
    <w:p>
      <w:r>
        <w:t>Delivery → first service → expected maintenance → missed dealer visit → root-cause diagnosis → transparent estimate/convenience treatment → completed repair order → repurchase opportunity.</w:t>
      </w:r>
    </w:p>
    <w:p>
      <w:pPr>
        <w:pStyle w:val="Heading2"/>
      </w:pPr>
      <w:r>
        <w:t>Application recommendations</w:t>
      </w:r>
    </w:p>
    <w:p>
      <w:pPr>
        <w:pStyle w:val="ListBullet"/>
        <w:spacing w:after="40"/>
        <w:ind w:left="288" w:hanging="173"/>
      </w:pPr>
      <w:r>
        <w:t>Create age-specific service-retention thresholds.</w:t>
      </w:r>
    </w:p>
    <w:p>
      <w:pPr>
        <w:pStyle w:val="ListBullet"/>
        <w:spacing w:after="40"/>
        <w:ind w:left="288" w:hanging="173"/>
      </w:pPr>
      <w:r>
        <w:t>Detect expected-versus-observed dealer service gaps.</w:t>
      </w:r>
    </w:p>
    <w:p>
      <w:pPr>
        <w:pStyle w:val="ListBullet"/>
        <w:spacing w:after="40"/>
        <w:ind w:left="288" w:hanging="173"/>
      </w:pPr>
      <w:r>
        <w:t>Show transparent estimates and approved price-comparison information.</w:t>
      </w:r>
    </w:p>
    <w:p>
      <w:pPr>
        <w:pStyle w:val="ListBullet"/>
        <w:spacing w:after="40"/>
        <w:ind w:left="288" w:hanging="173"/>
      </w:pPr>
      <w:r>
        <w:t>Link retained service customers to later vehicle replacement journeys.</w:t>
      </w:r>
    </w:p>
    <w:tbl>
      <w:tblPr>
        <w:tblW w:type="auto" w:w="0"/>
        <w:tblLook w:firstColumn="1" w:firstRow="1" w:lastColumn="0" w:lastRow="0" w:noHBand="0" w:noVBand="1" w:val="04A0"/>
      </w:tblPr>
      <w:tblGrid>
        <w:gridCol w:w="10224"/>
      </w:tblGrid>
      <w:tr>
        <w:tc>
          <w:tcPr>
            <w:tcW w:type="dxa" w:w="10224"/>
            <w:shd w:fill="FFF2CC"/>
            <w:tcMar>
              <w:top w:w="100" w:type="dxa"/>
              <w:start w:w="100" w:type="dxa"/>
              <w:bottom w:w="100" w:type="dxa"/>
              <w:end w:w="100" w:type="dxa"/>
            </w:tcMar>
            <w:vAlign w:val="center"/>
          </w:tcPr>
          <w:p>
            <w:pPr>
              <w:spacing w:after="20"/>
            </w:pPr>
            <w:r>
              <w:rPr>
                <w:b/>
                <w:color w:val="7F6000"/>
              </w:rPr>
              <w:t xml:space="preserve">Limitation: </w:t>
            </w:r>
            <w:r>
              <w:t>Survey results should be calibrated using the dealer’s local competitive market and repair-order history.</w:t>
            </w:r>
          </w:p>
        </w:tc>
      </w:tr>
    </w:tbl>
    <w:p>
      <w:pPr>
        <w:pStyle w:val="SourceLink"/>
      </w:pPr>
      <w:r>
        <w:rPr>
          <w:b/>
        </w:rPr>
        <w:t xml:space="preserve">Original source: </w:t>
      </w:r>
      <w:hyperlink r:id="rId13">
        <w:r>
          <w:rPr>
            <w:color w:val="0563C1"/>
            <w:u w:val="single"/>
          </w:rPr>
          <w:t>2025 Automotive Service Industry Study</w:t>
        </w:r>
      </w:hyperlink>
    </w:p>
    <w:p>
      <w:r>
        <w:br w:type="page"/>
      </w:r>
    </w:p>
    <w:p>
      <w:pPr>
        <w:pStyle w:val="Title"/>
      </w:pPr>
      <w:r>
        <w:t>4. 2025 U.S. Customer Service Index Study</w:t>
      </w:r>
    </w:p>
    <w:tbl>
      <w:tblPr>
        <w:tblW w:type="auto" w:w="0"/>
        <w:jc w:val="center"/>
        <w:tblLook w:firstColumn="1" w:firstRow="1" w:lastColumn="0" w:lastRow="0" w:noHBand="0" w:noVBand="1" w:val="04A0"/>
      </w:tblPr>
      <w:tblGrid>
        <w:gridCol w:w="3408"/>
        <w:gridCol w:w="3408"/>
        <w:gridCol w:w="3408"/>
      </w:tblGrid>
      <w:tr>
        <w:tc>
          <w:tcPr>
            <w:tcW w:type="dxa" w:w="3408"/>
            <w:shd w:fill="D9EAF7"/>
            <w:tcMar>
              <w:top w:w="65" w:type="dxa"/>
              <w:start w:w="65" w:type="dxa"/>
              <w:bottom w:w="65" w:type="dxa"/>
              <w:end w:w="65" w:type="dxa"/>
            </w:tcMar>
            <w:vAlign w:val="center"/>
          </w:tcPr>
          <w:p>
            <w:pPr>
              <w:spacing w:after="20"/>
            </w:pPr>
            <w:r>
              <w:rPr>
                <w:b/>
              </w:rPr>
              <w:t>Publisher</w:t>
            </w:r>
          </w:p>
        </w:tc>
        <w:tc>
          <w:tcPr>
            <w:tcW w:type="dxa" w:w="3408"/>
            <w:shd w:fill="D9EAF7"/>
            <w:tcMar>
              <w:top w:w="65" w:type="dxa"/>
              <w:start w:w="65" w:type="dxa"/>
              <w:bottom w:w="65" w:type="dxa"/>
              <w:end w:w="65" w:type="dxa"/>
            </w:tcMar>
            <w:vAlign w:val="center"/>
          </w:tcPr>
          <w:p>
            <w:pPr>
              <w:spacing w:after="20"/>
            </w:pPr>
            <w:r>
              <w:rPr>
                <w:b/>
              </w:rPr>
              <w:t>Publication / field period</w:t>
            </w:r>
          </w:p>
        </w:tc>
        <w:tc>
          <w:tcPr>
            <w:tcW w:type="dxa" w:w="3408"/>
            <w:shd w:fill="D9EAF7"/>
            <w:tcMar>
              <w:top w:w="65" w:type="dxa"/>
              <w:start w:w="65" w:type="dxa"/>
              <w:bottom w:w="65" w:type="dxa"/>
              <w:end w:w="65" w:type="dxa"/>
            </w:tcMar>
            <w:vAlign w:val="center"/>
          </w:tcPr>
          <w:p>
            <w:pPr>
              <w:spacing w:after="20"/>
            </w:pPr>
            <w:r>
              <w:rPr>
                <w:b/>
              </w:rPr>
              <w:t>Why selected</w:t>
            </w:r>
          </w:p>
        </w:tc>
      </w:tr>
      <w:tr>
        <w:tc>
          <w:tcPr>
            <w:tcW w:type="dxa" w:w="3408"/>
            <w:tcMar>
              <w:top w:w="65" w:type="dxa"/>
              <w:start w:w="65" w:type="dxa"/>
              <w:bottom w:w="65" w:type="dxa"/>
              <w:end w:w="65" w:type="dxa"/>
            </w:tcMar>
            <w:vAlign w:val="center"/>
          </w:tcPr>
          <w:p>
            <w:pPr>
              <w:spacing w:after="20"/>
            </w:pPr>
            <w:r>
              <w:t>J.D. Power</w:t>
            </w:r>
          </w:p>
        </w:tc>
        <w:tc>
          <w:tcPr>
            <w:tcW w:type="dxa" w:w="3408"/>
            <w:tcMar>
              <w:top w:w="65" w:type="dxa"/>
              <w:start w:w="65" w:type="dxa"/>
              <w:bottom w:w="65" w:type="dxa"/>
              <w:end w:w="65" w:type="dxa"/>
            </w:tcMar>
            <w:vAlign w:val="center"/>
          </w:tcPr>
          <w:p>
            <w:pPr>
              <w:spacing w:after="20"/>
            </w:pPr>
            <w:r>
              <w:t>March 2025</w:t>
            </w:r>
          </w:p>
        </w:tc>
        <w:tc>
          <w:tcPr>
            <w:tcW w:type="dxa" w:w="3408"/>
            <w:tcMar>
              <w:top w:w="65" w:type="dxa"/>
              <w:start w:w="65" w:type="dxa"/>
              <w:bottom w:w="65" w:type="dxa"/>
              <w:end w:w="65" w:type="dxa"/>
            </w:tcMar>
            <w:vAlign w:val="center"/>
          </w:tcPr>
          <w:p>
            <w:pPr>
              <w:spacing w:after="20"/>
            </w:pPr>
            <w:r>
              <w:t>Measures dealer maintenance and repair satisfaction, including appointment access, communication, repair quality and intent to return.</w:t>
            </w:r>
          </w:p>
        </w:tc>
      </w:tr>
    </w:tbl>
    <w:p>
      <w:pPr>
        <w:pStyle w:val="Heading2"/>
      </w:pPr>
      <w:r>
        <w:t>Key source findings</w:t>
      </w:r>
    </w:p>
    <w:p>
      <w:pPr>
        <w:pStyle w:val="ListBullet"/>
        <w:spacing w:after="40"/>
        <w:ind w:left="288" w:hanging="173"/>
      </w:pPr>
      <w:r>
        <w:t>Long appointment waits, communication shortfalls and repair-quality gaps limited progress in service satisfaction.</w:t>
      </w:r>
    </w:p>
    <w:p>
      <w:pPr>
        <w:pStyle w:val="ListBullet"/>
        <w:spacing w:after="40"/>
        <w:ind w:left="288" w:hanging="173"/>
      </w:pPr>
      <w:r>
        <w:t>The study states that 12% of repairs were not completed correctly on the first visit.</w:t>
      </w:r>
    </w:p>
    <w:p>
      <w:pPr>
        <w:pStyle w:val="ListBullet"/>
        <w:spacing w:after="40"/>
        <w:ind w:left="288" w:hanging="173"/>
      </w:pPr>
      <w:r>
        <w:t>Among customers with a repair not completed correctly the first time, only 50% returned or planned to return.</w:t>
      </w:r>
    </w:p>
    <w:p>
      <w:pPr>
        <w:pStyle w:val="ListBullet"/>
        <w:spacing w:after="40"/>
        <w:ind w:left="288" w:hanging="173"/>
      </w:pPr>
      <w:r>
        <w:t>Mass-market BEV satisfaction was 51 points below mass-market ICE, and premium BEV satisfaction was 57 points below premium ICE.</w:t>
      </w:r>
    </w:p>
    <w:p>
      <w:pPr>
        <w:pStyle w:val="ListBullet"/>
        <w:spacing w:after="40"/>
        <w:ind w:left="288" w:hanging="173"/>
      </w:pPr>
      <w:r>
        <w:t>Combining maintenance with recall work was associated with improved satisfaction.</w:t>
      </w:r>
    </w:p>
    <w:p>
      <w:pPr>
        <w:pStyle w:val="Heading2"/>
      </w:pPr>
      <w:r>
        <w:t>Service-retention segments</w:t>
      </w:r>
    </w:p>
    <w:tbl>
      <w:tblPr>
        <w:tblW w:type="auto" w:w="0"/>
        <w:jc w:val="center"/>
        <w:tblLook w:firstColumn="1" w:firstRow="1" w:lastColumn="0" w:lastRow="0" w:noHBand="0" w:noVBand="1" w:val="04A0"/>
      </w:tblPr>
      <w:tblGrid>
        <w:gridCol w:w="3408"/>
        <w:gridCol w:w="3408"/>
        <w:gridCol w:w="3408"/>
      </w:tblGrid>
      <w:tr>
        <w:tc>
          <w:tcPr>
            <w:tcW w:type="dxa" w:w="3408"/>
            <w:shd w:fill="EAF2F8"/>
            <w:tcMar>
              <w:top w:w="80" w:type="dxa"/>
              <w:start w:w="80" w:type="dxa"/>
              <w:bottom w:w="80" w:type="dxa"/>
              <w:end w:w="80" w:type="dxa"/>
            </w:tcMar>
            <w:vAlign w:val="center"/>
          </w:tcPr>
          <w:p>
            <w:pPr>
              <w:spacing w:after="20"/>
            </w:pPr>
            <w:r>
              <w:t>• Appointment-delay risk</w:t>
              <w:br/>
              <w:t>• Communication-gap customer</w:t>
            </w:r>
          </w:p>
        </w:tc>
        <w:tc>
          <w:tcPr>
            <w:tcW w:type="dxa" w:w="3408"/>
            <w:shd w:fill="D9EAF7"/>
            <w:tcMar>
              <w:top w:w="80" w:type="dxa"/>
              <w:start w:w="80" w:type="dxa"/>
              <w:bottom w:w="80" w:type="dxa"/>
              <w:end w:w="80" w:type="dxa"/>
            </w:tcMar>
            <w:vAlign w:val="center"/>
          </w:tcPr>
          <w:p>
            <w:pPr>
              <w:spacing w:after="20"/>
            </w:pPr>
            <w:r>
              <w:t>• Repair-reopened recovery</w:t>
              <w:br/>
              <w:t>• Parts-unavailable frustration</w:t>
            </w:r>
          </w:p>
        </w:tc>
        <w:tc>
          <w:tcPr>
            <w:tcW w:type="dxa" w:w="3408"/>
            <w:shd w:fill="EAF2F8"/>
            <w:tcMar>
              <w:top w:w="80" w:type="dxa"/>
              <w:start w:w="80" w:type="dxa"/>
              <w:bottom w:w="80" w:type="dxa"/>
              <w:end w:w="80" w:type="dxa"/>
            </w:tcMar>
            <w:vAlign w:val="center"/>
          </w:tcPr>
          <w:p>
            <w:pPr>
              <w:spacing w:after="20"/>
            </w:pPr>
            <w:r>
              <w:t>• EV-service experience risk</w:t>
              <w:br/>
              <w:t>• Recall-plus-maintenance opportunity</w:t>
            </w:r>
          </w:p>
        </w:tc>
      </w:tr>
    </w:tbl>
    <w:p>
      <w:pPr>
        <w:pStyle w:val="Heading2"/>
      </w:pPr>
      <w:r>
        <w:t>Recommended journey</w:t>
      </w:r>
    </w:p>
    <w:p>
      <w:r>
        <w:t>Appointment request → wait-time communication → service visit → first-time-fix confirmation → immediate recovery if unresolved → satisfaction check → next-service return.</w:t>
      </w:r>
    </w:p>
    <w:p>
      <w:pPr>
        <w:pStyle w:val="Heading2"/>
      </w:pPr>
      <w:r>
        <w:t>Application recommendations</w:t>
      </w:r>
    </w:p>
    <w:p>
      <w:pPr>
        <w:pStyle w:val="ListBullet"/>
        <w:spacing w:after="40"/>
        <w:ind w:left="288" w:hanging="173"/>
      </w:pPr>
      <w:r>
        <w:t>Trigger proactive delay and parts-status updates.</w:t>
      </w:r>
    </w:p>
    <w:p>
      <w:pPr>
        <w:pStyle w:val="ListBullet"/>
        <w:spacing w:after="40"/>
        <w:ind w:left="288" w:hanging="173"/>
      </w:pPr>
      <w:r>
        <w:t>Escalate reopened repairs before sending promotional messages.</w:t>
      </w:r>
    </w:p>
    <w:p>
      <w:pPr>
        <w:pStyle w:val="ListBullet"/>
        <w:spacing w:after="40"/>
        <w:ind w:left="288" w:hanging="173"/>
      </w:pPr>
      <w:r>
        <w:t>Create EV-specific service routing and education.</w:t>
      </w:r>
    </w:p>
    <w:p>
      <w:pPr>
        <w:pStyle w:val="ListBullet"/>
        <w:spacing w:after="40"/>
        <w:ind w:left="288" w:hanging="173"/>
      </w:pPr>
      <w:r>
        <w:t>Offer recall and maintenance combination only when appropriate and customer-approved.</w:t>
      </w:r>
    </w:p>
    <w:tbl>
      <w:tblPr>
        <w:tblW w:type="auto" w:w="0"/>
        <w:tblLook w:firstColumn="1" w:firstRow="1" w:lastColumn="0" w:lastRow="0" w:noHBand="0" w:noVBand="1" w:val="04A0"/>
      </w:tblPr>
      <w:tblGrid>
        <w:gridCol w:w="10224"/>
      </w:tblGrid>
      <w:tr>
        <w:tc>
          <w:tcPr>
            <w:tcW w:type="dxa" w:w="10224"/>
            <w:shd w:fill="FFF2CC"/>
            <w:tcMar>
              <w:top w:w="100" w:type="dxa"/>
              <w:start w:w="100" w:type="dxa"/>
              <w:bottom w:w="100" w:type="dxa"/>
              <w:end w:w="100" w:type="dxa"/>
            </w:tcMar>
            <w:vAlign w:val="center"/>
          </w:tcPr>
          <w:p>
            <w:pPr>
              <w:spacing w:after="20"/>
            </w:pPr>
            <w:r>
              <w:rPr>
                <w:b/>
                <w:color w:val="7F6000"/>
              </w:rPr>
              <w:t xml:space="preserve">Limitation: </w:t>
            </w:r>
            <w:r>
              <w:t>Campaigns cannot compensate for inadequate capacity, unavailable parts or technical capability.</w:t>
            </w:r>
          </w:p>
        </w:tc>
      </w:tr>
    </w:tbl>
    <w:p>
      <w:pPr>
        <w:pStyle w:val="SourceLink"/>
      </w:pPr>
      <w:r>
        <w:rPr>
          <w:b/>
        </w:rPr>
        <w:t xml:space="preserve">Original source: </w:t>
      </w:r>
      <w:hyperlink r:id="rId14">
        <w:r>
          <w:rPr>
            <w:color w:val="0563C1"/>
            <w:u w:val="single"/>
          </w:rPr>
          <w:t>2025 U.S. Customer Service Index Study</w:t>
        </w:r>
      </w:hyperlink>
    </w:p>
    <w:p>
      <w:r>
        <w:br w:type="page"/>
      </w:r>
    </w:p>
    <w:p>
      <w:pPr>
        <w:pStyle w:val="Title"/>
      </w:pPr>
      <w:r>
        <w:t>5. 2025 U.S. Aftermarket Service Index Study</w:t>
      </w:r>
    </w:p>
    <w:tbl>
      <w:tblPr>
        <w:tblW w:type="auto" w:w="0"/>
        <w:jc w:val="center"/>
        <w:tblLook w:firstColumn="1" w:firstRow="1" w:lastColumn="0" w:lastRow="0" w:noHBand="0" w:noVBand="1" w:val="04A0"/>
      </w:tblPr>
      <w:tblGrid>
        <w:gridCol w:w="3408"/>
        <w:gridCol w:w="3408"/>
        <w:gridCol w:w="3408"/>
      </w:tblGrid>
      <w:tr>
        <w:tc>
          <w:tcPr>
            <w:tcW w:type="dxa" w:w="3408"/>
            <w:shd w:fill="D9EAF7"/>
            <w:tcMar>
              <w:top w:w="65" w:type="dxa"/>
              <w:start w:w="65" w:type="dxa"/>
              <w:bottom w:w="65" w:type="dxa"/>
              <w:end w:w="65" w:type="dxa"/>
            </w:tcMar>
            <w:vAlign w:val="center"/>
          </w:tcPr>
          <w:p>
            <w:pPr>
              <w:spacing w:after="20"/>
            </w:pPr>
            <w:r>
              <w:rPr>
                <w:b/>
              </w:rPr>
              <w:t>Publisher</w:t>
            </w:r>
          </w:p>
        </w:tc>
        <w:tc>
          <w:tcPr>
            <w:tcW w:type="dxa" w:w="3408"/>
            <w:shd w:fill="D9EAF7"/>
            <w:tcMar>
              <w:top w:w="65" w:type="dxa"/>
              <w:start w:w="65" w:type="dxa"/>
              <w:bottom w:w="65" w:type="dxa"/>
              <w:end w:w="65" w:type="dxa"/>
            </w:tcMar>
            <w:vAlign w:val="center"/>
          </w:tcPr>
          <w:p>
            <w:pPr>
              <w:spacing w:after="20"/>
            </w:pPr>
            <w:r>
              <w:rPr>
                <w:b/>
              </w:rPr>
              <w:t>Publication / field period</w:t>
            </w:r>
          </w:p>
        </w:tc>
        <w:tc>
          <w:tcPr>
            <w:tcW w:type="dxa" w:w="3408"/>
            <w:shd w:fill="D9EAF7"/>
            <w:tcMar>
              <w:top w:w="65" w:type="dxa"/>
              <w:start w:w="65" w:type="dxa"/>
              <w:bottom w:w="65" w:type="dxa"/>
              <w:end w:w="65" w:type="dxa"/>
            </w:tcMar>
            <w:vAlign w:val="center"/>
          </w:tcPr>
          <w:p>
            <w:pPr>
              <w:spacing w:after="20"/>
            </w:pPr>
            <w:r>
              <w:rPr>
                <w:b/>
              </w:rPr>
              <w:t>Why selected</w:t>
            </w:r>
          </w:p>
        </w:tc>
      </w:tr>
      <w:tr>
        <w:tc>
          <w:tcPr>
            <w:tcW w:type="dxa" w:w="3408"/>
            <w:tcMar>
              <w:top w:w="65" w:type="dxa"/>
              <w:start w:w="65" w:type="dxa"/>
              <w:bottom w:w="65" w:type="dxa"/>
              <w:end w:w="65" w:type="dxa"/>
            </w:tcMar>
            <w:vAlign w:val="center"/>
          </w:tcPr>
          <w:p>
            <w:pPr>
              <w:spacing w:after="20"/>
            </w:pPr>
            <w:r>
              <w:t>J.D. Power</w:t>
            </w:r>
          </w:p>
        </w:tc>
        <w:tc>
          <w:tcPr>
            <w:tcW w:type="dxa" w:w="3408"/>
            <w:tcMar>
              <w:top w:w="65" w:type="dxa"/>
              <w:start w:w="65" w:type="dxa"/>
              <w:bottom w:w="65" w:type="dxa"/>
              <w:end w:w="65" w:type="dxa"/>
            </w:tcMar>
            <w:vAlign w:val="center"/>
          </w:tcPr>
          <w:p>
            <w:pPr>
              <w:spacing w:after="20"/>
            </w:pPr>
            <w:r>
              <w:t>April 2025</w:t>
            </w:r>
          </w:p>
        </w:tc>
        <w:tc>
          <w:tcPr>
            <w:tcW w:type="dxa" w:w="3408"/>
            <w:tcMar>
              <w:top w:w="65" w:type="dxa"/>
              <w:start w:w="65" w:type="dxa"/>
              <w:bottom w:w="65" w:type="dxa"/>
              <w:end w:w="65" w:type="dxa"/>
            </w:tcMar>
            <w:vAlign w:val="center"/>
          </w:tcPr>
          <w:p>
            <w:pPr>
              <w:spacing w:after="20"/>
            </w:pPr>
            <w:r>
              <w:t>Shows where aftermarket providers improve satisfaction and where dealerships retain an advantage.</w:t>
            </w:r>
          </w:p>
        </w:tc>
      </w:tr>
    </w:tbl>
    <w:p>
      <w:pPr>
        <w:pStyle w:val="Heading2"/>
      </w:pPr>
      <w:r>
        <w:t>Key source findings</w:t>
      </w:r>
    </w:p>
    <w:p>
      <w:pPr>
        <w:pStyle w:val="ListBullet"/>
        <w:spacing w:after="40"/>
        <w:ind w:left="288" w:hanging="173"/>
      </w:pPr>
      <w:r>
        <w:t>Satisfaction improved in tire replacement, quick oil change and full-service maintenance and repair.</w:t>
      </w:r>
    </w:p>
    <w:p>
      <w:pPr>
        <w:pStyle w:val="ListBullet"/>
        <w:spacing w:after="40"/>
        <w:ind w:left="288" w:hanging="173"/>
      </w:pPr>
      <w:r>
        <w:t>Improved completion time and perceived fairness of charges were key satisfaction drivers.</w:t>
      </w:r>
    </w:p>
    <w:p>
      <w:pPr>
        <w:pStyle w:val="ListBullet"/>
        <w:spacing w:after="40"/>
        <w:ind w:left="288" w:hanging="173"/>
      </w:pPr>
      <w:r>
        <w:t>56% of tire replacement and quick-oil-change customers preferred text updates.</w:t>
      </w:r>
    </w:p>
    <w:p>
      <w:pPr>
        <w:pStyle w:val="ListBullet"/>
        <w:spacing w:after="40"/>
        <w:ind w:left="288" w:hanging="173"/>
      </w:pPr>
      <w:r>
        <w:t>Customers receiving their preferred text updates had higher satisfaction than the study averages.</w:t>
      </w:r>
    </w:p>
    <w:p>
      <w:pPr>
        <w:pStyle w:val="ListBullet"/>
        <w:spacing w:after="40"/>
        <w:ind w:left="288" w:hanging="173"/>
      </w:pPr>
      <w:r>
        <w:t>Dealerships retained higher customer trust for technology use and complex repairs.</w:t>
      </w:r>
    </w:p>
    <w:p>
      <w:pPr>
        <w:pStyle w:val="Heading2"/>
      </w:pPr>
      <w:r>
        <w:t>Service-retention segments</w:t>
      </w:r>
    </w:p>
    <w:tbl>
      <w:tblPr>
        <w:tblW w:type="auto" w:w="0"/>
        <w:jc w:val="center"/>
        <w:tblLook w:firstColumn="1" w:firstRow="1" w:lastColumn="0" w:lastRow="0" w:noHBand="0" w:noVBand="1" w:val="04A0"/>
      </w:tblPr>
      <w:tblGrid>
        <w:gridCol w:w="3408"/>
        <w:gridCol w:w="3408"/>
        <w:gridCol w:w="3408"/>
      </w:tblGrid>
      <w:tr>
        <w:tc>
          <w:tcPr>
            <w:tcW w:type="dxa" w:w="3408"/>
            <w:shd w:fill="EAF2F8"/>
            <w:tcMar>
              <w:top w:w="80" w:type="dxa"/>
              <w:start w:w="80" w:type="dxa"/>
              <w:bottom w:w="80" w:type="dxa"/>
              <w:end w:w="80" w:type="dxa"/>
            </w:tcMar>
            <w:vAlign w:val="center"/>
          </w:tcPr>
          <w:p>
            <w:pPr>
              <w:spacing w:after="20"/>
            </w:pPr>
            <w:r>
              <w:t>• Text-update preference</w:t>
              <w:br/>
              <w:t>• Fast-completion seeker</w:t>
            </w:r>
          </w:p>
        </w:tc>
        <w:tc>
          <w:tcPr>
            <w:tcW w:type="dxa" w:w="3408"/>
            <w:shd w:fill="D9EAF7"/>
            <w:tcMar>
              <w:top w:w="80" w:type="dxa"/>
              <w:start w:w="80" w:type="dxa"/>
              <w:bottom w:w="80" w:type="dxa"/>
              <w:end w:w="80" w:type="dxa"/>
            </w:tcMar>
            <w:vAlign w:val="center"/>
          </w:tcPr>
          <w:p>
            <w:pPr>
              <w:spacing w:after="20"/>
            </w:pPr>
            <w:r>
              <w:t>• Fairness-of-charges risk</w:t>
              <w:br/>
              <w:t>• Digital-inspection receptive</w:t>
            </w:r>
          </w:p>
        </w:tc>
        <w:tc>
          <w:tcPr>
            <w:tcW w:type="dxa" w:w="3408"/>
            <w:shd w:fill="EAF2F8"/>
            <w:tcMar>
              <w:top w:w="80" w:type="dxa"/>
              <w:start w:w="80" w:type="dxa"/>
              <w:bottom w:w="80" w:type="dxa"/>
              <w:end w:w="80" w:type="dxa"/>
            </w:tcMar>
            <w:vAlign w:val="center"/>
          </w:tcPr>
          <w:p>
            <w:pPr>
              <w:spacing w:after="20"/>
            </w:pPr>
            <w:r>
              <w:t>• Complex-repair dealer loyalist</w:t>
              <w:br/>
              <w:t>• Quick-lube or tire-chain leakage</w:t>
            </w:r>
          </w:p>
        </w:tc>
      </w:tr>
    </w:tbl>
    <w:p>
      <w:pPr>
        <w:pStyle w:val="Heading2"/>
      </w:pPr>
      <w:r>
        <w:t>Recommended journey</w:t>
      </w:r>
    </w:p>
    <w:p>
      <w:r>
        <w:t>Routine-service need → provider search → communication preference → service and inspection → completion/fairness evaluation → follow-up → next provider choice.</w:t>
      </w:r>
    </w:p>
    <w:p>
      <w:pPr>
        <w:pStyle w:val="Heading2"/>
      </w:pPr>
      <w:r>
        <w:t>Application recommendations</w:t>
      </w:r>
    </w:p>
    <w:p>
      <w:pPr>
        <w:pStyle w:val="ListBullet"/>
        <w:spacing w:after="40"/>
        <w:ind w:left="288" w:hanging="173"/>
      </w:pPr>
      <w:r>
        <w:t>Honor update-channel preference.</w:t>
      </w:r>
    </w:p>
    <w:p>
      <w:pPr>
        <w:pStyle w:val="ListBullet"/>
        <w:spacing w:after="40"/>
        <w:ind w:left="288" w:hanging="173"/>
      </w:pPr>
      <w:r>
        <w:t>Use photo/video inspection results where available and appropriate.</w:t>
      </w:r>
    </w:p>
    <w:p>
      <w:pPr>
        <w:pStyle w:val="ListBullet"/>
        <w:spacing w:after="40"/>
        <w:ind w:left="288" w:hanging="173"/>
      </w:pPr>
      <w:r>
        <w:t>Position dealership expertise for complex repairs without disparaging competitors.</w:t>
      </w:r>
    </w:p>
    <w:p>
      <w:pPr>
        <w:pStyle w:val="ListBullet"/>
        <w:spacing w:after="40"/>
        <w:ind w:left="288" w:hanging="173"/>
      </w:pPr>
      <w:r>
        <w:t>Measure tire and oil-change retention as distinct service categories.</w:t>
      </w:r>
    </w:p>
    <w:tbl>
      <w:tblPr>
        <w:tblW w:type="auto" w:w="0"/>
        <w:tblLook w:firstColumn="1" w:firstRow="1" w:lastColumn="0" w:lastRow="0" w:noHBand="0" w:noVBand="1" w:val="04A0"/>
      </w:tblPr>
      <w:tblGrid>
        <w:gridCol w:w="10224"/>
      </w:tblGrid>
      <w:tr>
        <w:tc>
          <w:tcPr>
            <w:tcW w:type="dxa" w:w="10224"/>
            <w:shd w:fill="FFF2CC"/>
            <w:tcMar>
              <w:top w:w="100" w:type="dxa"/>
              <w:start w:w="100" w:type="dxa"/>
              <w:bottom w:w="100" w:type="dxa"/>
              <w:end w:w="100" w:type="dxa"/>
            </w:tcMar>
            <w:vAlign w:val="center"/>
          </w:tcPr>
          <w:p>
            <w:pPr>
              <w:spacing w:after="20"/>
            </w:pPr>
            <w:r>
              <w:rPr>
                <w:b/>
                <w:color w:val="7F6000"/>
              </w:rPr>
              <w:t xml:space="preserve">Limitation: </w:t>
            </w:r>
            <w:r>
              <w:t>This study focuses on aftermarket providers; dealer use should be competitive benchmarking rather than direct audience assignment.</w:t>
            </w:r>
          </w:p>
        </w:tc>
      </w:tr>
    </w:tbl>
    <w:p>
      <w:pPr>
        <w:pStyle w:val="SourceLink"/>
      </w:pPr>
      <w:r>
        <w:rPr>
          <w:b/>
        </w:rPr>
        <w:t xml:space="preserve">Original source: </w:t>
      </w:r>
      <w:hyperlink r:id="rId15">
        <w:r>
          <w:rPr>
            <w:color w:val="0563C1"/>
            <w:u w:val="single"/>
          </w:rPr>
          <w:t>2025 U.S. Aftermarket Service Index Study</w:t>
        </w:r>
      </w:hyperlink>
    </w:p>
    <w:p>
      <w:r>
        <w:br w:type="page"/>
      </w:r>
    </w:p>
    <w:p>
      <w:pPr>
        <w:pStyle w:val="Title"/>
      </w:pPr>
      <w:r>
        <w:t>6. 2026 Fixed Operations and Ownership Study</w:t>
      </w:r>
    </w:p>
    <w:tbl>
      <w:tblPr>
        <w:tblW w:type="auto" w:w="0"/>
        <w:jc w:val="center"/>
        <w:tblLook w:firstColumn="1" w:firstRow="1" w:lastColumn="0" w:lastRow="0" w:noHBand="0" w:noVBand="1" w:val="04A0"/>
      </w:tblPr>
      <w:tblGrid>
        <w:gridCol w:w="3408"/>
        <w:gridCol w:w="3408"/>
        <w:gridCol w:w="3408"/>
      </w:tblGrid>
      <w:tr>
        <w:tc>
          <w:tcPr>
            <w:tcW w:type="dxa" w:w="3408"/>
            <w:shd w:fill="D9EAF7"/>
            <w:tcMar>
              <w:top w:w="65" w:type="dxa"/>
              <w:start w:w="65" w:type="dxa"/>
              <w:bottom w:w="65" w:type="dxa"/>
              <w:end w:w="65" w:type="dxa"/>
            </w:tcMar>
            <w:vAlign w:val="center"/>
          </w:tcPr>
          <w:p>
            <w:pPr>
              <w:spacing w:after="20"/>
            </w:pPr>
            <w:r>
              <w:rPr>
                <w:b/>
              </w:rPr>
              <w:t>Publisher</w:t>
            </w:r>
          </w:p>
        </w:tc>
        <w:tc>
          <w:tcPr>
            <w:tcW w:type="dxa" w:w="3408"/>
            <w:shd w:fill="D9EAF7"/>
            <w:tcMar>
              <w:top w:w="65" w:type="dxa"/>
              <w:start w:w="65" w:type="dxa"/>
              <w:bottom w:w="65" w:type="dxa"/>
              <w:end w:w="65" w:type="dxa"/>
            </w:tcMar>
            <w:vAlign w:val="center"/>
          </w:tcPr>
          <w:p>
            <w:pPr>
              <w:spacing w:after="20"/>
            </w:pPr>
            <w:r>
              <w:rPr>
                <w:b/>
              </w:rPr>
              <w:t>Publication / field period</w:t>
            </w:r>
          </w:p>
        </w:tc>
        <w:tc>
          <w:tcPr>
            <w:tcW w:type="dxa" w:w="3408"/>
            <w:shd w:fill="D9EAF7"/>
            <w:tcMar>
              <w:top w:w="65" w:type="dxa"/>
              <w:start w:w="65" w:type="dxa"/>
              <w:bottom w:w="65" w:type="dxa"/>
              <w:end w:w="65" w:type="dxa"/>
            </w:tcMar>
            <w:vAlign w:val="center"/>
          </w:tcPr>
          <w:p>
            <w:pPr>
              <w:spacing w:after="20"/>
            </w:pPr>
            <w:r>
              <w:rPr>
                <w:b/>
              </w:rPr>
              <w:t>Why selected</w:t>
            </w:r>
          </w:p>
        </w:tc>
      </w:tr>
      <w:tr>
        <w:tc>
          <w:tcPr>
            <w:tcW w:type="dxa" w:w="3408"/>
            <w:tcMar>
              <w:top w:w="65" w:type="dxa"/>
              <w:start w:w="65" w:type="dxa"/>
              <w:bottom w:w="65" w:type="dxa"/>
              <w:end w:w="65" w:type="dxa"/>
            </w:tcMar>
            <w:vAlign w:val="center"/>
          </w:tcPr>
          <w:p>
            <w:pPr>
              <w:spacing w:after="20"/>
            </w:pPr>
            <w:r>
              <w:t>Cox Automotive</w:t>
            </w:r>
          </w:p>
        </w:tc>
        <w:tc>
          <w:tcPr>
            <w:tcW w:type="dxa" w:w="3408"/>
            <w:tcMar>
              <w:top w:w="65" w:type="dxa"/>
              <w:start w:w="65" w:type="dxa"/>
              <w:bottom w:w="65" w:type="dxa"/>
              <w:end w:w="65" w:type="dxa"/>
            </w:tcMar>
            <w:vAlign w:val="center"/>
          </w:tcPr>
          <w:p>
            <w:pPr>
              <w:spacing w:after="20"/>
            </w:pPr>
            <w:r>
              <w:t>2026, as reported by Digital Dealer</w:t>
            </w:r>
          </w:p>
        </w:tc>
        <w:tc>
          <w:tcPr>
            <w:tcW w:type="dxa" w:w="3408"/>
            <w:tcMar>
              <w:top w:w="65" w:type="dxa"/>
              <w:start w:w="65" w:type="dxa"/>
              <w:bottom w:w="65" w:type="dxa"/>
              <w:end w:w="65" w:type="dxa"/>
            </w:tcMar>
            <w:vAlign w:val="center"/>
          </w:tcPr>
          <w:p>
            <w:pPr>
              <w:spacing w:after="20"/>
            </w:pPr>
            <w:r>
              <w:t>Connects extended ownership, fixed-operations economics, service leakage, first-appointment gaps and future sales opportunity.</w:t>
            </w:r>
          </w:p>
        </w:tc>
      </w:tr>
    </w:tbl>
    <w:p>
      <w:pPr>
        <w:pStyle w:val="Heading2"/>
      </w:pPr>
      <w:r>
        <w:t>Key source findings</w:t>
      </w:r>
    </w:p>
    <w:p>
      <w:pPr>
        <w:pStyle w:val="ListBullet"/>
        <w:spacing w:after="40"/>
        <w:ind w:left="288" w:hanging="173"/>
      </w:pPr>
      <w:r>
        <w:t>The reporting states an estimated $12,398 in lifetime service revenue can be lost when a new-vehicle buyer services elsewhere.</w:t>
      </w:r>
    </w:p>
    <w:p>
      <w:pPr>
        <w:pStyle w:val="ListBullet"/>
        <w:spacing w:after="40"/>
        <w:ind w:left="288" w:hanging="173"/>
      </w:pPr>
      <w:r>
        <w:t>Nearly two-thirds of surveyed drivers planned to keep vehicles five years or more, compared with 54% in 2024.</w:t>
      </w:r>
    </w:p>
    <w:p>
      <w:pPr>
        <w:pStyle w:val="ListBullet"/>
        <w:spacing w:after="40"/>
        <w:ind w:left="288" w:hanging="173"/>
      </w:pPr>
      <w:r>
        <w:t>The report highlights gaps in first-appointment scheduling, trade-in offers and transparent communication.</w:t>
      </w:r>
    </w:p>
    <w:p>
      <w:pPr>
        <w:pStyle w:val="ListBullet"/>
        <w:spacing w:after="40"/>
        <w:ind w:left="288" w:hanging="173"/>
      </w:pPr>
      <w:r>
        <w:t>It reports that 67% of EV owners take their vehicles to dealerships for service visits.</w:t>
      </w:r>
    </w:p>
    <w:p>
      <w:pPr>
        <w:pStyle w:val="ListBullet"/>
        <w:spacing w:after="40"/>
        <w:ind w:left="288" w:hanging="173"/>
      </w:pPr>
      <w:r>
        <w:t>The study positions service as a trust and value opportunity that can unlock inventory or repurchase opportunities.</w:t>
      </w:r>
    </w:p>
    <w:p>
      <w:pPr>
        <w:pStyle w:val="Heading2"/>
      </w:pPr>
      <w:r>
        <w:t>Service-retention segments</w:t>
      </w:r>
    </w:p>
    <w:tbl>
      <w:tblPr>
        <w:tblW w:type="auto" w:w="0"/>
        <w:jc w:val="center"/>
        <w:tblLook w:firstColumn="1" w:firstRow="1" w:lastColumn="0" w:lastRow="0" w:noHBand="0" w:noVBand="1" w:val="04A0"/>
      </w:tblPr>
      <w:tblGrid>
        <w:gridCol w:w="3408"/>
        <w:gridCol w:w="3408"/>
        <w:gridCol w:w="3408"/>
      </w:tblGrid>
      <w:tr>
        <w:tc>
          <w:tcPr>
            <w:tcW w:type="dxa" w:w="3408"/>
            <w:shd w:fill="EAF2F8"/>
            <w:tcMar>
              <w:top w:w="80" w:type="dxa"/>
              <w:start w:w="80" w:type="dxa"/>
              <w:bottom w:w="80" w:type="dxa"/>
              <w:end w:w="80" w:type="dxa"/>
            </w:tcMar>
            <w:vAlign w:val="center"/>
          </w:tcPr>
          <w:p>
            <w:pPr>
              <w:spacing w:after="20"/>
            </w:pPr>
            <w:r>
              <w:t>• Lifetime service-value risk</w:t>
              <w:br/>
              <w:t>• First-appointment unscheduled</w:t>
            </w:r>
          </w:p>
        </w:tc>
        <w:tc>
          <w:tcPr>
            <w:tcW w:type="dxa" w:w="3408"/>
            <w:shd w:fill="D9EAF7"/>
            <w:tcMar>
              <w:top w:w="80" w:type="dxa"/>
              <w:start w:w="80" w:type="dxa"/>
              <w:bottom w:w="80" w:type="dxa"/>
              <w:end w:w="80" w:type="dxa"/>
            </w:tcMar>
            <w:vAlign w:val="center"/>
          </w:tcPr>
          <w:p>
            <w:pPr>
              <w:spacing w:after="20"/>
            </w:pPr>
            <w:r>
              <w:t>• Extended-ownership customer</w:t>
              <w:br/>
              <w:t>• High-age service opportunity</w:t>
            </w:r>
          </w:p>
        </w:tc>
        <w:tc>
          <w:tcPr>
            <w:tcW w:type="dxa" w:w="3408"/>
            <w:shd w:fill="EAF2F8"/>
            <w:tcMar>
              <w:top w:w="80" w:type="dxa"/>
              <w:start w:w="80" w:type="dxa"/>
              <w:bottom w:w="80" w:type="dxa"/>
              <w:end w:w="80" w:type="dxa"/>
            </w:tcMar>
            <w:vAlign w:val="center"/>
          </w:tcPr>
          <w:p>
            <w:pPr>
              <w:spacing w:after="20"/>
            </w:pPr>
            <w:r>
              <w:t>• EV dealer-service opportunity</w:t>
              <w:br/>
              <w:t>• Service-to-sales candidate</w:t>
            </w:r>
          </w:p>
        </w:tc>
      </w:tr>
    </w:tbl>
    <w:p>
      <w:pPr>
        <w:pStyle w:val="Heading2"/>
      </w:pPr>
      <w:r>
        <w:t>Recommended journey</w:t>
      </w:r>
    </w:p>
    <w:p>
      <w:r>
        <w:t>Vehicle delivery → first appointment → multi-year maintenance relationship → rising ownership cost → vehicle health/value discussion → continued service or replacement.</w:t>
      </w:r>
    </w:p>
    <w:p>
      <w:pPr>
        <w:pStyle w:val="Heading2"/>
      </w:pPr>
      <w:r>
        <w:t>Application recommendations</w:t>
      </w:r>
    </w:p>
    <w:p>
      <w:pPr>
        <w:pStyle w:val="ListBullet"/>
        <w:spacing w:after="40"/>
        <w:ind w:left="288" w:hanging="173"/>
      </w:pPr>
      <w:r>
        <w:t>Calculate expected lifetime service value as a planning metric, not a guaranteed individual value.</w:t>
      </w:r>
    </w:p>
    <w:p>
      <w:pPr>
        <w:pStyle w:val="ListBullet"/>
        <w:spacing w:after="40"/>
        <w:ind w:left="288" w:hanging="173"/>
      </w:pPr>
      <w:r>
        <w:t>Make first appointment scheduling part of delivery.</w:t>
      </w:r>
    </w:p>
    <w:p>
      <w:pPr>
        <w:pStyle w:val="ListBullet"/>
        <w:spacing w:after="40"/>
        <w:ind w:left="288" w:hanging="173"/>
      </w:pPr>
      <w:r>
        <w:t>Create age- and mileage-based retention journeys for longer ownership.</w:t>
      </w:r>
    </w:p>
    <w:p>
      <w:pPr>
        <w:pStyle w:val="ListBullet"/>
        <w:spacing w:after="40"/>
        <w:ind w:left="288" w:hanging="173"/>
      </w:pPr>
      <w:r>
        <w:t>Use service-to-sales triggers carefully and avoid pressuring customers during unresolved repairs.</w:t>
      </w:r>
    </w:p>
    <w:tbl>
      <w:tblPr>
        <w:tblW w:type="auto" w:w="0"/>
        <w:tblLook w:firstColumn="1" w:firstRow="1" w:lastColumn="0" w:lastRow="0" w:noHBand="0" w:noVBand="1" w:val="04A0"/>
      </w:tblPr>
      <w:tblGrid>
        <w:gridCol w:w="10224"/>
      </w:tblGrid>
      <w:tr>
        <w:tc>
          <w:tcPr>
            <w:tcW w:type="dxa" w:w="10224"/>
            <w:shd w:fill="FFF2CC"/>
            <w:tcMar>
              <w:top w:w="100" w:type="dxa"/>
              <w:start w:w="100" w:type="dxa"/>
              <w:bottom w:w="100" w:type="dxa"/>
              <w:end w:w="100" w:type="dxa"/>
            </w:tcMar>
            <w:vAlign w:val="center"/>
          </w:tcPr>
          <w:p>
            <w:pPr>
              <w:spacing w:after="20"/>
            </w:pPr>
            <w:r>
              <w:rPr>
                <w:b/>
                <w:color w:val="7F6000"/>
              </w:rPr>
              <w:t xml:space="preserve">Limitation: </w:t>
            </w:r>
            <w:r>
              <w:t>The available source is industry reporting about the study, not the complete primary report.</w:t>
            </w:r>
          </w:p>
        </w:tc>
      </w:tr>
    </w:tbl>
    <w:p>
      <w:pPr>
        <w:pStyle w:val="SourceLink"/>
      </w:pPr>
      <w:r>
        <w:rPr>
          <w:b/>
        </w:rPr>
        <w:t xml:space="preserve">Original source: </w:t>
      </w:r>
      <w:hyperlink r:id="rId16">
        <w:r>
          <w:rPr>
            <w:color w:val="0563C1"/>
            <w:u w:val="single"/>
          </w:rPr>
          <w:t>2026 Fixed Operations and Ownership Study</w:t>
        </w:r>
      </w:hyperlink>
    </w:p>
    <w:p>
      <w:r>
        <w:br w:type="page"/>
      </w:r>
    </w:p>
    <w:p>
      <w:pPr>
        <w:pStyle w:val="Title"/>
      </w:pPr>
      <w:r>
        <w:t>7. 2026 U.S. Electric Vehicle Experience Ownership Study</w:t>
      </w:r>
    </w:p>
    <w:tbl>
      <w:tblPr>
        <w:tblW w:type="auto" w:w="0"/>
        <w:jc w:val="center"/>
        <w:tblLook w:firstColumn="1" w:firstRow="1" w:lastColumn="0" w:lastRow="0" w:noHBand="0" w:noVBand="1" w:val="04A0"/>
      </w:tblPr>
      <w:tblGrid>
        <w:gridCol w:w="3408"/>
        <w:gridCol w:w="3408"/>
        <w:gridCol w:w="3408"/>
      </w:tblGrid>
      <w:tr>
        <w:tc>
          <w:tcPr>
            <w:tcW w:type="dxa" w:w="3408"/>
            <w:shd w:fill="D9EAF7"/>
            <w:tcMar>
              <w:top w:w="65" w:type="dxa"/>
              <w:start w:w="65" w:type="dxa"/>
              <w:bottom w:w="65" w:type="dxa"/>
              <w:end w:w="65" w:type="dxa"/>
            </w:tcMar>
            <w:vAlign w:val="center"/>
          </w:tcPr>
          <w:p>
            <w:pPr>
              <w:spacing w:after="20"/>
            </w:pPr>
            <w:r>
              <w:rPr>
                <w:b/>
              </w:rPr>
              <w:t>Publisher</w:t>
            </w:r>
          </w:p>
        </w:tc>
        <w:tc>
          <w:tcPr>
            <w:tcW w:type="dxa" w:w="3408"/>
            <w:shd w:fill="D9EAF7"/>
            <w:tcMar>
              <w:top w:w="65" w:type="dxa"/>
              <w:start w:w="65" w:type="dxa"/>
              <w:bottom w:w="65" w:type="dxa"/>
              <w:end w:w="65" w:type="dxa"/>
            </w:tcMar>
            <w:vAlign w:val="center"/>
          </w:tcPr>
          <w:p>
            <w:pPr>
              <w:spacing w:after="20"/>
            </w:pPr>
            <w:r>
              <w:rPr>
                <w:b/>
              </w:rPr>
              <w:t>Publication / field period</w:t>
            </w:r>
          </w:p>
        </w:tc>
        <w:tc>
          <w:tcPr>
            <w:tcW w:type="dxa" w:w="3408"/>
            <w:shd w:fill="D9EAF7"/>
            <w:tcMar>
              <w:top w:w="65" w:type="dxa"/>
              <w:start w:w="65" w:type="dxa"/>
              <w:bottom w:w="65" w:type="dxa"/>
              <w:end w:w="65" w:type="dxa"/>
            </w:tcMar>
            <w:vAlign w:val="center"/>
          </w:tcPr>
          <w:p>
            <w:pPr>
              <w:spacing w:after="20"/>
            </w:pPr>
            <w:r>
              <w:rPr>
                <w:b/>
              </w:rPr>
              <w:t>Why selected</w:t>
            </w:r>
          </w:p>
        </w:tc>
      </w:tr>
      <w:tr>
        <w:tc>
          <w:tcPr>
            <w:tcW w:type="dxa" w:w="3408"/>
            <w:tcMar>
              <w:top w:w="65" w:type="dxa"/>
              <w:start w:w="65" w:type="dxa"/>
              <w:bottom w:w="65" w:type="dxa"/>
              <w:end w:w="65" w:type="dxa"/>
            </w:tcMar>
            <w:vAlign w:val="center"/>
          </w:tcPr>
          <w:p>
            <w:pPr>
              <w:spacing w:after="20"/>
            </w:pPr>
            <w:r>
              <w:t>J.D. Power</w:t>
            </w:r>
          </w:p>
        </w:tc>
        <w:tc>
          <w:tcPr>
            <w:tcW w:type="dxa" w:w="3408"/>
            <w:tcMar>
              <w:top w:w="65" w:type="dxa"/>
              <w:start w:w="65" w:type="dxa"/>
              <w:bottom w:w="65" w:type="dxa"/>
              <w:end w:w="65" w:type="dxa"/>
            </w:tcMar>
            <w:vAlign w:val="center"/>
          </w:tcPr>
          <w:p>
            <w:pPr>
              <w:spacing w:after="20"/>
            </w:pPr>
            <w:r>
              <w:t>February 2026</w:t>
            </w:r>
          </w:p>
        </w:tc>
        <w:tc>
          <w:tcPr>
            <w:tcW w:type="dxa" w:w="3408"/>
            <w:tcMar>
              <w:top w:w="65" w:type="dxa"/>
              <w:start w:w="65" w:type="dxa"/>
              <w:bottom w:w="65" w:type="dxa"/>
              <w:end w:w="65" w:type="dxa"/>
            </w:tcMar>
            <w:vAlign w:val="center"/>
          </w:tcPr>
          <w:p>
            <w:pPr>
              <w:spacing w:after="20"/>
            </w:pPr>
            <w:r>
              <w:t>Provides the latest ownership-experience context for retaining EV customers through charging, quality and service support.</w:t>
            </w:r>
          </w:p>
        </w:tc>
      </w:tr>
    </w:tbl>
    <w:p>
      <w:pPr>
        <w:pStyle w:val="Heading2"/>
      </w:pPr>
      <w:r>
        <w:t>Key source findings</w:t>
      </w:r>
    </w:p>
    <w:p>
      <w:pPr>
        <w:pStyle w:val="ListBullet"/>
        <w:spacing w:after="40"/>
        <w:ind w:left="288" w:hanging="173"/>
      </w:pPr>
      <w:r>
        <w:t>Overall BEV owner satisfaction reached its highest level since the study began in 2021.</w:t>
      </w:r>
    </w:p>
    <w:p>
      <w:pPr>
        <w:pStyle w:val="ListBullet"/>
        <w:spacing w:after="40"/>
        <w:ind w:left="288" w:hanging="173"/>
      </w:pPr>
      <w:r>
        <w:t>96% of new-BEV owners said they would consider purchasing or leasing another BEV.</w:t>
      </w:r>
    </w:p>
    <w:p>
      <w:pPr>
        <w:pStyle w:val="ListBullet"/>
        <w:spacing w:after="40"/>
        <w:ind w:left="288" w:hanging="173"/>
      </w:pPr>
      <w:r>
        <w:t>Public charging satisfaction improved year over year in premium and mass-market segments.</w:t>
      </w:r>
    </w:p>
    <w:p>
      <w:pPr>
        <w:pStyle w:val="ListBullet"/>
        <w:spacing w:after="40"/>
        <w:ind w:left="288" w:hanging="173"/>
      </w:pPr>
      <w:r>
        <w:t>Premium BEVs improved quality by 15.9 problems per 100 vehicles year over year to 75.0 PP100.</w:t>
      </w:r>
    </w:p>
    <w:p>
      <w:pPr>
        <w:pStyle w:val="ListBullet"/>
        <w:spacing w:after="40"/>
        <w:ind w:left="288" w:hanging="173"/>
      </w:pPr>
      <w:r>
        <w:t>The study connects technology, charging and quality improvements with owner satisfaction.</w:t>
      </w:r>
    </w:p>
    <w:p>
      <w:pPr>
        <w:pStyle w:val="Heading2"/>
      </w:pPr>
      <w:r>
        <w:t>Service-retention segments</w:t>
      </w:r>
    </w:p>
    <w:tbl>
      <w:tblPr>
        <w:tblW w:type="auto" w:w="0"/>
        <w:jc w:val="center"/>
        <w:tblLook w:firstColumn="1" w:firstRow="1" w:lastColumn="0" w:lastRow="0" w:noHBand="0" w:noVBand="1" w:val="04A0"/>
      </w:tblPr>
      <w:tblGrid>
        <w:gridCol w:w="3408"/>
        <w:gridCol w:w="3408"/>
        <w:gridCol w:w="3408"/>
      </w:tblGrid>
      <w:tr>
        <w:tc>
          <w:tcPr>
            <w:tcW w:type="dxa" w:w="3408"/>
            <w:shd w:fill="EAF2F8"/>
            <w:tcMar>
              <w:top w:w="80" w:type="dxa"/>
              <w:start w:w="80" w:type="dxa"/>
              <w:bottom w:w="80" w:type="dxa"/>
              <w:end w:w="80" w:type="dxa"/>
            </w:tcMar>
            <w:vAlign w:val="center"/>
          </w:tcPr>
          <w:p>
            <w:pPr>
              <w:spacing w:after="20"/>
            </w:pPr>
            <w:r>
              <w:t>• New-BEV owner</w:t>
              <w:br/>
              <w:t>• Charging-support need</w:t>
            </w:r>
          </w:p>
        </w:tc>
        <w:tc>
          <w:tcPr>
            <w:tcW w:type="dxa" w:w="3408"/>
            <w:shd w:fill="D9EAF7"/>
            <w:tcMar>
              <w:top w:w="80" w:type="dxa"/>
              <w:start w:w="80" w:type="dxa"/>
              <w:bottom w:w="80" w:type="dxa"/>
              <w:end w:w="80" w:type="dxa"/>
            </w:tcMar>
            <w:vAlign w:val="center"/>
          </w:tcPr>
          <w:p>
            <w:pPr>
              <w:spacing w:after="20"/>
            </w:pPr>
            <w:r>
              <w:t>• Quality-issue recovery</w:t>
              <w:br/>
              <w:t>• Repeat-EV likely</w:t>
            </w:r>
          </w:p>
        </w:tc>
        <w:tc>
          <w:tcPr>
            <w:tcW w:type="dxa" w:w="3408"/>
            <w:shd w:fill="EAF2F8"/>
            <w:tcMar>
              <w:top w:w="80" w:type="dxa"/>
              <w:start w:w="80" w:type="dxa"/>
              <w:bottom w:w="80" w:type="dxa"/>
              <w:end w:w="80" w:type="dxa"/>
            </w:tcMar>
            <w:vAlign w:val="center"/>
          </w:tcPr>
          <w:p>
            <w:pPr>
              <w:spacing w:after="20"/>
            </w:pPr>
            <w:r>
              <w:t>• Brand loyalty at risk despite EV loyalty</w:t>
            </w:r>
          </w:p>
        </w:tc>
      </w:tr>
    </w:tbl>
    <w:p>
      <w:pPr>
        <w:pStyle w:val="Heading2"/>
      </w:pPr>
      <w:r>
        <w:t>Recommended journey</w:t>
      </w:r>
    </w:p>
    <w:p>
      <w:r>
        <w:t>EV delivery → charging/app/feature onboarding → early-use monitoring → service or quality recovery → ownership satisfaction → repeat-EV and brand-retention decision.</w:t>
      </w:r>
    </w:p>
    <w:p>
      <w:pPr>
        <w:pStyle w:val="Heading2"/>
      </w:pPr>
      <w:r>
        <w:t>Application recommendations</w:t>
      </w:r>
    </w:p>
    <w:p>
      <w:pPr>
        <w:pStyle w:val="ListBullet"/>
        <w:spacing w:after="40"/>
        <w:ind w:left="288" w:hanging="173"/>
      </w:pPr>
      <w:r>
        <w:t>Separate loyalty to EV technology from loyalty to the current dealer or brand.</w:t>
      </w:r>
    </w:p>
    <w:p>
      <w:pPr>
        <w:pStyle w:val="ListBullet"/>
        <w:spacing w:after="40"/>
        <w:ind w:left="288" w:hanging="173"/>
      </w:pPr>
      <w:r>
        <w:t>Use charging and quality issues as service-retention signals.</w:t>
      </w:r>
    </w:p>
    <w:p>
      <w:pPr>
        <w:pStyle w:val="ListBullet"/>
        <w:spacing w:after="40"/>
        <w:ind w:left="288" w:hanging="173"/>
      </w:pPr>
      <w:r>
        <w:t>Provide trained service routing and proactive ownership support.</w:t>
      </w:r>
    </w:p>
    <w:p>
      <w:pPr>
        <w:pStyle w:val="ListBullet"/>
        <w:spacing w:after="40"/>
        <w:ind w:left="288" w:hanging="173"/>
      </w:pPr>
      <w:r>
        <w:t>Use verified support outcomes before inviting advocacy.</w:t>
      </w:r>
    </w:p>
    <w:tbl>
      <w:tblPr>
        <w:tblW w:type="auto" w:w="0"/>
        <w:tblLook w:firstColumn="1" w:firstRow="1" w:lastColumn="0" w:lastRow="0" w:noHBand="0" w:noVBand="1" w:val="04A0"/>
      </w:tblPr>
      <w:tblGrid>
        <w:gridCol w:w="10224"/>
      </w:tblGrid>
      <w:tr>
        <w:tc>
          <w:tcPr>
            <w:tcW w:type="dxa" w:w="10224"/>
            <w:shd w:fill="FFF2CC"/>
            <w:tcMar>
              <w:top w:w="100" w:type="dxa"/>
              <w:start w:w="100" w:type="dxa"/>
              <w:bottom w:w="100" w:type="dxa"/>
              <w:end w:w="100" w:type="dxa"/>
            </w:tcMar>
            <w:vAlign w:val="center"/>
          </w:tcPr>
          <w:p>
            <w:pPr>
              <w:spacing w:after="20"/>
            </w:pPr>
            <w:r>
              <w:rPr>
                <w:b/>
                <w:color w:val="7F6000"/>
              </w:rPr>
              <w:t xml:space="preserve">Limitation: </w:t>
            </w:r>
            <w:r>
              <w:t>High repeat-EV consideration does not automatically imply loyalty to the dealer or manufacturer.</w:t>
            </w:r>
          </w:p>
        </w:tc>
      </w:tr>
    </w:tbl>
    <w:p>
      <w:pPr>
        <w:pStyle w:val="SourceLink"/>
      </w:pPr>
      <w:r>
        <w:rPr>
          <w:b/>
        </w:rPr>
        <w:t xml:space="preserve">Original source: </w:t>
      </w:r>
      <w:hyperlink r:id="rId17">
        <w:r>
          <w:rPr>
            <w:color w:val="0563C1"/>
            <w:u w:val="single"/>
          </w:rPr>
          <w:t>2026 U.S. Electric Vehicle Experience Ownership Study</w:t>
        </w:r>
      </w:hyperlink>
    </w:p>
    <w:p>
      <w:r>
        <w:br w:type="page"/>
      </w:r>
    </w:p>
    <w:p>
      <w:pPr>
        <w:pStyle w:val="Title"/>
      </w:pPr>
      <w:r>
        <w:t>8. 2025 U.S. Electric Vehicle Experience Ownership Study</w:t>
      </w:r>
    </w:p>
    <w:tbl>
      <w:tblPr>
        <w:tblW w:type="auto" w:w="0"/>
        <w:jc w:val="center"/>
        <w:tblLook w:firstColumn="1" w:firstRow="1" w:lastColumn="0" w:lastRow="0" w:noHBand="0" w:noVBand="1" w:val="04A0"/>
      </w:tblPr>
      <w:tblGrid>
        <w:gridCol w:w="3408"/>
        <w:gridCol w:w="3408"/>
        <w:gridCol w:w="3408"/>
      </w:tblGrid>
      <w:tr>
        <w:tc>
          <w:tcPr>
            <w:tcW w:type="dxa" w:w="3408"/>
            <w:shd w:fill="D9EAF7"/>
            <w:tcMar>
              <w:top w:w="65" w:type="dxa"/>
              <w:start w:w="65" w:type="dxa"/>
              <w:bottom w:w="65" w:type="dxa"/>
              <w:end w:w="65" w:type="dxa"/>
            </w:tcMar>
            <w:vAlign w:val="center"/>
          </w:tcPr>
          <w:p>
            <w:pPr>
              <w:spacing w:after="20"/>
            </w:pPr>
            <w:r>
              <w:rPr>
                <w:b/>
              </w:rPr>
              <w:t>Publisher</w:t>
            </w:r>
          </w:p>
        </w:tc>
        <w:tc>
          <w:tcPr>
            <w:tcW w:type="dxa" w:w="3408"/>
            <w:shd w:fill="D9EAF7"/>
            <w:tcMar>
              <w:top w:w="65" w:type="dxa"/>
              <w:start w:w="65" w:type="dxa"/>
              <w:bottom w:w="65" w:type="dxa"/>
              <w:end w:w="65" w:type="dxa"/>
            </w:tcMar>
            <w:vAlign w:val="center"/>
          </w:tcPr>
          <w:p>
            <w:pPr>
              <w:spacing w:after="20"/>
            </w:pPr>
            <w:r>
              <w:rPr>
                <w:b/>
              </w:rPr>
              <w:t>Publication / field period</w:t>
            </w:r>
          </w:p>
        </w:tc>
        <w:tc>
          <w:tcPr>
            <w:tcW w:type="dxa" w:w="3408"/>
            <w:shd w:fill="D9EAF7"/>
            <w:tcMar>
              <w:top w:w="65" w:type="dxa"/>
              <w:start w:w="65" w:type="dxa"/>
              <w:bottom w:w="65" w:type="dxa"/>
              <w:end w:w="65" w:type="dxa"/>
            </w:tcMar>
            <w:vAlign w:val="center"/>
          </w:tcPr>
          <w:p>
            <w:pPr>
              <w:spacing w:after="20"/>
            </w:pPr>
            <w:r>
              <w:rPr>
                <w:b/>
              </w:rPr>
              <w:t>Why selected</w:t>
            </w:r>
          </w:p>
        </w:tc>
      </w:tr>
      <w:tr>
        <w:tc>
          <w:tcPr>
            <w:tcW w:type="dxa" w:w="3408"/>
            <w:tcMar>
              <w:top w:w="65" w:type="dxa"/>
              <w:start w:w="65" w:type="dxa"/>
              <w:bottom w:w="65" w:type="dxa"/>
              <w:end w:w="65" w:type="dxa"/>
            </w:tcMar>
            <w:vAlign w:val="center"/>
          </w:tcPr>
          <w:p>
            <w:pPr>
              <w:spacing w:after="20"/>
            </w:pPr>
            <w:r>
              <w:t>J.D. Power</w:t>
            </w:r>
          </w:p>
        </w:tc>
        <w:tc>
          <w:tcPr>
            <w:tcW w:type="dxa" w:w="3408"/>
            <w:tcMar>
              <w:top w:w="65" w:type="dxa"/>
              <w:start w:w="65" w:type="dxa"/>
              <w:bottom w:w="65" w:type="dxa"/>
              <w:end w:w="65" w:type="dxa"/>
            </w:tcMar>
            <w:vAlign w:val="center"/>
          </w:tcPr>
          <w:p>
            <w:pPr>
              <w:spacing w:after="20"/>
            </w:pPr>
            <w:r>
              <w:t>February 2025</w:t>
            </w:r>
          </w:p>
        </w:tc>
        <w:tc>
          <w:tcPr>
            <w:tcW w:type="dxa" w:w="3408"/>
            <w:tcMar>
              <w:top w:w="65" w:type="dxa"/>
              <w:start w:w="65" w:type="dxa"/>
              <w:bottom w:w="65" w:type="dxa"/>
              <w:end w:w="65" w:type="dxa"/>
            </w:tcMar>
            <w:vAlign w:val="center"/>
          </w:tcPr>
          <w:p>
            <w:pPr>
              <w:spacing w:after="20"/>
            </w:pPr>
            <w:r>
              <w:t>Highlights onboarding and education gaps among first-time BEV owners that can affect service trust and retention.</w:t>
            </w:r>
          </w:p>
        </w:tc>
      </w:tr>
    </w:tbl>
    <w:p>
      <w:pPr>
        <w:pStyle w:val="Heading2"/>
      </w:pPr>
      <w:r>
        <w:t>Key source findings</w:t>
      </w:r>
    </w:p>
    <w:p>
      <w:pPr>
        <w:pStyle w:val="ListBullet"/>
        <w:spacing w:after="40"/>
        <w:ind w:left="288" w:hanging="173"/>
      </w:pPr>
      <w:r>
        <w:t>The study reported improving satisfaction among premium and mass-market BEV owners.</w:t>
      </w:r>
    </w:p>
    <w:p>
      <w:pPr>
        <w:pStyle w:val="ListBullet"/>
        <w:spacing w:after="40"/>
        <w:ind w:left="288" w:hanging="173"/>
      </w:pPr>
      <w:r>
        <w:t>69% of first-time BEV buyers received some form of education or training when buying.</w:t>
      </w:r>
    </w:p>
    <w:p>
      <w:pPr>
        <w:pStyle w:val="ListBullet"/>
        <w:spacing w:after="40"/>
        <w:ind w:left="288" w:hanging="173"/>
      </w:pPr>
      <w:r>
        <w:t>46% received education about specific features.</w:t>
      </w:r>
    </w:p>
    <w:p>
      <w:pPr>
        <w:pStyle w:val="ListBullet"/>
        <w:spacing w:after="40"/>
        <w:ind w:left="288" w:hanging="173"/>
      </w:pPr>
      <w:r>
        <w:t>Only 12% received education about total cost of ownership.</w:t>
      </w:r>
    </w:p>
    <w:p>
      <w:pPr>
        <w:pStyle w:val="ListBullet"/>
        <w:spacing w:after="40"/>
        <w:ind w:left="288" w:hanging="173"/>
      </w:pPr>
      <w:r>
        <w:t>Dealer and manufacturer staff were identified as important front-line educators.</w:t>
      </w:r>
    </w:p>
    <w:p>
      <w:pPr>
        <w:pStyle w:val="Heading2"/>
      </w:pPr>
      <w:r>
        <w:t>Service-retention segments</w:t>
      </w:r>
    </w:p>
    <w:tbl>
      <w:tblPr>
        <w:tblW w:type="auto" w:w="0"/>
        <w:jc w:val="center"/>
        <w:tblLook w:firstColumn="1" w:firstRow="1" w:lastColumn="0" w:lastRow="0" w:noHBand="0" w:noVBand="1" w:val="04A0"/>
      </w:tblPr>
      <w:tblGrid>
        <w:gridCol w:w="3408"/>
        <w:gridCol w:w="3408"/>
        <w:gridCol w:w="3408"/>
      </w:tblGrid>
      <w:tr>
        <w:tc>
          <w:tcPr>
            <w:tcW w:type="dxa" w:w="3408"/>
            <w:shd w:fill="EAF2F8"/>
            <w:tcMar>
              <w:top w:w="80" w:type="dxa"/>
              <w:start w:w="80" w:type="dxa"/>
              <w:bottom w:w="80" w:type="dxa"/>
              <w:end w:w="80" w:type="dxa"/>
            </w:tcMar>
            <w:vAlign w:val="center"/>
          </w:tcPr>
          <w:p>
            <w:pPr>
              <w:spacing w:after="20"/>
            </w:pPr>
            <w:r>
              <w:t>• First-time EV onboarding gap</w:t>
              <w:br/>
              <w:t>• Feature-education need</w:t>
            </w:r>
          </w:p>
        </w:tc>
        <w:tc>
          <w:tcPr>
            <w:tcW w:type="dxa" w:w="3408"/>
            <w:shd w:fill="D9EAF7"/>
            <w:tcMar>
              <w:top w:w="80" w:type="dxa"/>
              <w:start w:w="80" w:type="dxa"/>
              <w:bottom w:w="80" w:type="dxa"/>
              <w:end w:w="80" w:type="dxa"/>
            </w:tcMar>
            <w:vAlign w:val="center"/>
          </w:tcPr>
          <w:p>
            <w:pPr>
              <w:spacing w:after="20"/>
            </w:pPr>
            <w:r>
              <w:t>• Ownership-cost education need</w:t>
              <w:br/>
              <w:t>• Charging-learning curve</w:t>
            </w:r>
          </w:p>
        </w:tc>
        <w:tc>
          <w:tcPr>
            <w:tcW w:type="dxa" w:w="3408"/>
            <w:shd w:fill="EAF2F8"/>
            <w:tcMar>
              <w:top w:w="80" w:type="dxa"/>
              <w:start w:w="80" w:type="dxa"/>
              <w:bottom w:w="80" w:type="dxa"/>
              <w:end w:w="80" w:type="dxa"/>
            </w:tcMar>
            <w:vAlign w:val="center"/>
          </w:tcPr>
          <w:p>
            <w:pPr>
              <w:spacing w:after="20"/>
            </w:pPr>
            <w:r>
              <w:t>• EV service-readiness risk</w:t>
            </w:r>
          </w:p>
        </w:tc>
      </w:tr>
    </w:tbl>
    <w:p>
      <w:pPr>
        <w:pStyle w:val="Heading2"/>
      </w:pPr>
      <w:r>
        <w:t>Recommended journey</w:t>
      </w:r>
    </w:p>
    <w:p>
      <w:r>
        <w:t>BEV purchase → delivery education → first 30/60/90-day check-in → charging and feature support → first service → long-term service retention.</w:t>
      </w:r>
    </w:p>
    <w:p>
      <w:pPr>
        <w:pStyle w:val="Heading2"/>
      </w:pPr>
      <w:r>
        <w:t>Application recommendations</w:t>
      </w:r>
    </w:p>
    <w:p>
      <w:pPr>
        <w:pStyle w:val="ListBullet"/>
        <w:spacing w:after="40"/>
        <w:ind w:left="288" w:hanging="173"/>
      </w:pPr>
      <w:r>
        <w:t>Track education topics completed at delivery.</w:t>
      </w:r>
    </w:p>
    <w:p>
      <w:pPr>
        <w:pStyle w:val="ListBullet"/>
        <w:spacing w:after="40"/>
        <w:ind w:left="288" w:hanging="173"/>
      </w:pPr>
      <w:r>
        <w:t>Create a first-90-day EV support journey.</w:t>
      </w:r>
    </w:p>
    <w:p>
      <w:pPr>
        <w:pStyle w:val="ListBullet"/>
        <w:spacing w:after="40"/>
        <w:ind w:left="288" w:hanging="173"/>
      </w:pPr>
      <w:r>
        <w:t>Route technical questions to trained personnel.</w:t>
      </w:r>
    </w:p>
    <w:p>
      <w:pPr>
        <w:pStyle w:val="ListBullet"/>
        <w:spacing w:after="40"/>
        <w:ind w:left="288" w:hanging="173"/>
      </w:pPr>
      <w:r>
        <w:t>Do not use education messaging to minimize genuine charging or product failures.</w:t>
      </w:r>
    </w:p>
    <w:tbl>
      <w:tblPr>
        <w:tblW w:type="auto" w:w="0"/>
        <w:tblLook w:firstColumn="1" w:firstRow="1" w:lastColumn="0" w:lastRow="0" w:noHBand="0" w:noVBand="1" w:val="04A0"/>
      </w:tblPr>
      <w:tblGrid>
        <w:gridCol w:w="10224"/>
      </w:tblGrid>
      <w:tr>
        <w:tc>
          <w:tcPr>
            <w:tcW w:type="dxa" w:w="10224"/>
            <w:shd w:fill="FFF2CC"/>
            <w:tcMar>
              <w:top w:w="100" w:type="dxa"/>
              <w:start w:w="100" w:type="dxa"/>
              <w:bottom w:w="100" w:type="dxa"/>
              <w:end w:w="100" w:type="dxa"/>
            </w:tcMar>
            <w:vAlign w:val="center"/>
          </w:tcPr>
          <w:p>
            <w:pPr>
              <w:spacing w:after="20"/>
            </w:pPr>
            <w:r>
              <w:rPr>
                <w:b/>
                <w:color w:val="7F6000"/>
              </w:rPr>
              <w:t xml:space="preserve">Limitation: </w:t>
            </w:r>
            <w:r>
              <w:t>Education is one retention lever; product reliability, charging access and service capability remain essential.</w:t>
            </w:r>
          </w:p>
        </w:tc>
      </w:tr>
    </w:tbl>
    <w:p>
      <w:pPr>
        <w:pStyle w:val="SourceLink"/>
      </w:pPr>
      <w:r>
        <w:rPr>
          <w:b/>
        </w:rPr>
        <w:t xml:space="preserve">Original source: </w:t>
      </w:r>
      <w:hyperlink r:id="rId18">
        <w:r>
          <w:rPr>
            <w:color w:val="0563C1"/>
            <w:u w:val="single"/>
          </w:rPr>
          <w:t>2025 U.S. Electric Vehicle Experience Ownership Study</w:t>
        </w:r>
      </w:hyperlink>
    </w:p>
    <w:p>
      <w:r>
        <w:br w:type="page"/>
      </w:r>
    </w:p>
    <w:p>
      <w:pPr>
        <w:pStyle w:val="Title"/>
      </w:pPr>
      <w:r>
        <w:t>9. 2025 U.S. Sales Satisfaction Index Study</w:t>
      </w:r>
    </w:p>
    <w:tbl>
      <w:tblPr>
        <w:tblW w:type="auto" w:w="0"/>
        <w:jc w:val="center"/>
        <w:tblLook w:firstColumn="1" w:firstRow="1" w:lastColumn="0" w:lastRow="0" w:noHBand="0" w:noVBand="1" w:val="04A0"/>
      </w:tblPr>
      <w:tblGrid>
        <w:gridCol w:w="3408"/>
        <w:gridCol w:w="3408"/>
        <w:gridCol w:w="3408"/>
      </w:tblGrid>
      <w:tr>
        <w:tc>
          <w:tcPr>
            <w:tcW w:type="dxa" w:w="3408"/>
            <w:shd w:fill="D9EAF7"/>
            <w:tcMar>
              <w:top w:w="65" w:type="dxa"/>
              <w:start w:w="65" w:type="dxa"/>
              <w:bottom w:w="65" w:type="dxa"/>
              <w:end w:w="65" w:type="dxa"/>
            </w:tcMar>
            <w:vAlign w:val="center"/>
          </w:tcPr>
          <w:p>
            <w:pPr>
              <w:spacing w:after="20"/>
            </w:pPr>
            <w:r>
              <w:rPr>
                <w:b/>
              </w:rPr>
              <w:t>Publisher</w:t>
            </w:r>
          </w:p>
        </w:tc>
        <w:tc>
          <w:tcPr>
            <w:tcW w:type="dxa" w:w="3408"/>
            <w:shd w:fill="D9EAF7"/>
            <w:tcMar>
              <w:top w:w="65" w:type="dxa"/>
              <w:start w:w="65" w:type="dxa"/>
              <w:bottom w:w="65" w:type="dxa"/>
              <w:end w:w="65" w:type="dxa"/>
            </w:tcMar>
            <w:vAlign w:val="center"/>
          </w:tcPr>
          <w:p>
            <w:pPr>
              <w:spacing w:after="20"/>
            </w:pPr>
            <w:r>
              <w:rPr>
                <w:b/>
              </w:rPr>
              <w:t>Publication / field period</w:t>
            </w:r>
          </w:p>
        </w:tc>
        <w:tc>
          <w:tcPr>
            <w:tcW w:type="dxa" w:w="3408"/>
            <w:shd w:fill="D9EAF7"/>
            <w:tcMar>
              <w:top w:w="65" w:type="dxa"/>
              <w:start w:w="65" w:type="dxa"/>
              <w:bottom w:w="65" w:type="dxa"/>
              <w:end w:w="65" w:type="dxa"/>
            </w:tcMar>
            <w:vAlign w:val="center"/>
          </w:tcPr>
          <w:p>
            <w:pPr>
              <w:spacing w:after="20"/>
            </w:pPr>
            <w:r>
              <w:rPr>
                <w:b/>
              </w:rPr>
              <w:t>Why selected</w:t>
            </w:r>
          </w:p>
        </w:tc>
      </w:tr>
      <w:tr>
        <w:tc>
          <w:tcPr>
            <w:tcW w:type="dxa" w:w="3408"/>
            <w:tcMar>
              <w:top w:w="65" w:type="dxa"/>
              <w:start w:w="65" w:type="dxa"/>
              <w:bottom w:w="65" w:type="dxa"/>
              <w:end w:w="65" w:type="dxa"/>
            </w:tcMar>
            <w:vAlign w:val="center"/>
          </w:tcPr>
          <w:p>
            <w:pPr>
              <w:spacing w:after="20"/>
            </w:pPr>
            <w:r>
              <w:t>J.D. Power</w:t>
            </w:r>
          </w:p>
        </w:tc>
        <w:tc>
          <w:tcPr>
            <w:tcW w:type="dxa" w:w="3408"/>
            <w:tcMar>
              <w:top w:w="65" w:type="dxa"/>
              <w:start w:w="65" w:type="dxa"/>
              <w:bottom w:w="65" w:type="dxa"/>
              <w:end w:w="65" w:type="dxa"/>
            </w:tcMar>
            <w:vAlign w:val="center"/>
          </w:tcPr>
          <w:p>
            <w:pPr>
              <w:spacing w:after="20"/>
            </w:pPr>
            <w:r>
              <w:t>November 2025</w:t>
            </w:r>
          </w:p>
        </w:tc>
        <w:tc>
          <w:tcPr>
            <w:tcW w:type="dxa" w:w="3408"/>
            <w:tcMar>
              <w:top w:w="65" w:type="dxa"/>
              <w:start w:w="65" w:type="dxa"/>
              <w:bottom w:w="65" w:type="dxa"/>
              <w:end w:w="65" w:type="dxa"/>
            </w:tcMar>
            <w:vAlign w:val="center"/>
          </w:tcPr>
          <w:p>
            <w:pPr>
              <w:spacing w:after="20"/>
            </w:pPr>
            <w:r>
              <w:t>Relevant to service retention because delivery education and post-sale connection shape the sales-to-service handoff.</w:t>
            </w:r>
          </w:p>
        </w:tc>
      </w:tr>
    </w:tbl>
    <w:p>
      <w:pPr>
        <w:pStyle w:val="Heading2"/>
      </w:pPr>
      <w:r>
        <w:t>Key source findings</w:t>
      </w:r>
    </w:p>
    <w:p>
      <w:pPr>
        <w:pStyle w:val="ListBullet"/>
        <w:spacing w:after="40"/>
        <w:ind w:left="288" w:hanging="173"/>
      </w:pPr>
      <w:r>
        <w:t>22% of buyers wanted a later follow-up explanation of features and controls.</w:t>
      </w:r>
    </w:p>
    <w:p>
      <w:pPr>
        <w:pStyle w:val="ListBullet"/>
        <w:spacing w:after="40"/>
        <w:ind w:left="288" w:hanging="173"/>
      </w:pPr>
      <w:r>
        <w:t>53% of those wanting follow-up did not receive it.</w:t>
      </w:r>
    </w:p>
    <w:p>
      <w:pPr>
        <w:pStyle w:val="ListBullet"/>
        <w:spacing w:after="40"/>
        <w:ind w:left="288" w:hanging="173"/>
      </w:pPr>
      <w:r>
        <w:t>The release identifies transparent dealing, feature education and post-delivery connection as retention opportunities.</w:t>
      </w:r>
    </w:p>
    <w:p>
      <w:pPr>
        <w:pStyle w:val="ListBullet"/>
        <w:spacing w:after="40"/>
        <w:ind w:left="288" w:hanging="173"/>
      </w:pPr>
      <w:r>
        <w:t>Clear explanation of trade-in value was associated with much higher deal-making satisfaction when value was below expectations.</w:t>
      </w:r>
    </w:p>
    <w:p>
      <w:pPr>
        <w:pStyle w:val="Heading2"/>
      </w:pPr>
      <w:r>
        <w:t>Service-retention segments</w:t>
      </w:r>
    </w:p>
    <w:tbl>
      <w:tblPr>
        <w:tblW w:type="auto" w:w="0"/>
        <w:jc w:val="center"/>
        <w:tblLook w:firstColumn="1" w:firstRow="1" w:lastColumn="0" w:lastRow="0" w:noHBand="0" w:noVBand="1" w:val="04A0"/>
      </w:tblPr>
      <w:tblGrid>
        <w:gridCol w:w="3408"/>
        <w:gridCol w:w="3408"/>
        <w:gridCol w:w="3408"/>
      </w:tblGrid>
      <w:tr>
        <w:tc>
          <w:tcPr>
            <w:tcW w:type="dxa" w:w="3408"/>
            <w:shd w:fill="EAF2F8"/>
            <w:tcMar>
              <w:top w:w="80" w:type="dxa"/>
              <w:start w:w="80" w:type="dxa"/>
              <w:bottom w:w="80" w:type="dxa"/>
              <w:end w:w="80" w:type="dxa"/>
            </w:tcMar>
            <w:vAlign w:val="center"/>
          </w:tcPr>
          <w:p>
            <w:pPr>
              <w:spacing w:after="20"/>
            </w:pPr>
            <w:r>
              <w:t>• Post-delivery education gap</w:t>
              <w:br/>
              <w:t>• Sales-to-service handoff incomplete</w:t>
            </w:r>
          </w:p>
        </w:tc>
        <w:tc>
          <w:tcPr>
            <w:tcW w:type="dxa" w:w="3408"/>
            <w:shd w:fill="D9EAF7"/>
            <w:tcMar>
              <w:top w:w="80" w:type="dxa"/>
              <w:start w:w="80" w:type="dxa"/>
              <w:bottom w:w="80" w:type="dxa"/>
              <w:end w:w="80" w:type="dxa"/>
            </w:tcMar>
            <w:vAlign w:val="center"/>
          </w:tcPr>
          <w:p>
            <w:pPr>
              <w:spacing w:after="20"/>
            </w:pPr>
            <w:r>
              <w:t>• Trade-in trust risk</w:t>
              <w:br/>
              <w:t>• New-owner first-service risk</w:t>
            </w:r>
          </w:p>
        </w:tc>
        <w:tc>
          <w:tcPr>
            <w:tcW w:type="dxa" w:w="3408"/>
            <w:shd w:fill="EAF2F8"/>
            <w:tcMar>
              <w:top w:w="80" w:type="dxa"/>
              <w:start w:w="80" w:type="dxa"/>
              <w:bottom w:w="80" w:type="dxa"/>
              <w:end w:w="80" w:type="dxa"/>
            </w:tcMar>
            <w:vAlign w:val="center"/>
          </w:tcPr>
          <w:p>
            <w:pPr>
              <w:spacing w:after="20"/>
            </w:pPr>
            <w:r>
              <w:t>• Transparency-sensitive owner</w:t>
            </w:r>
          </w:p>
        </w:tc>
      </w:tr>
    </w:tbl>
    <w:p>
      <w:pPr>
        <w:pStyle w:val="Heading2"/>
      </w:pPr>
      <w:r>
        <w:t>Recommended journey</w:t>
      </w:r>
    </w:p>
    <w:p>
      <w:r>
        <w:t>Purchase → delivery → preferred follow-up format → feature education → first-service scheduling → completed first service → ownership engagement.</w:t>
      </w:r>
    </w:p>
    <w:p>
      <w:pPr>
        <w:pStyle w:val="Heading2"/>
      </w:pPr>
      <w:r>
        <w:t>Application recommendations</w:t>
      </w:r>
    </w:p>
    <w:p>
      <w:pPr>
        <w:pStyle w:val="ListBullet"/>
        <w:spacing w:after="40"/>
        <w:ind w:left="288" w:hanging="173"/>
      </w:pPr>
      <w:r>
        <w:t>Make first-service enrollment and follow-up preference part of delivery.</w:t>
      </w:r>
    </w:p>
    <w:p>
      <w:pPr>
        <w:pStyle w:val="ListBullet"/>
        <w:spacing w:after="40"/>
        <w:ind w:left="288" w:hanging="173"/>
      </w:pPr>
      <w:r>
        <w:t>Provide phone, in-person or video education according to customer choice.</w:t>
      </w:r>
    </w:p>
    <w:p>
      <w:pPr>
        <w:pStyle w:val="ListBullet"/>
        <w:spacing w:after="40"/>
        <w:ind w:left="288" w:hanging="173"/>
      </w:pPr>
      <w:r>
        <w:t>Carry unresolved delivery questions into customer care and service.</w:t>
      </w:r>
    </w:p>
    <w:p>
      <w:pPr>
        <w:pStyle w:val="ListBullet"/>
        <w:spacing w:after="40"/>
        <w:ind w:left="288" w:hanging="173"/>
      </w:pPr>
      <w:r>
        <w:t>Measure first-service booking and completion after post-delivery outreach.</w:t>
      </w:r>
    </w:p>
    <w:tbl>
      <w:tblPr>
        <w:tblW w:type="auto" w:w="0"/>
        <w:tblLook w:firstColumn="1" w:firstRow="1" w:lastColumn="0" w:lastRow="0" w:noHBand="0" w:noVBand="1" w:val="04A0"/>
      </w:tblPr>
      <w:tblGrid>
        <w:gridCol w:w="10224"/>
      </w:tblGrid>
      <w:tr>
        <w:tc>
          <w:tcPr>
            <w:tcW w:type="dxa" w:w="10224"/>
            <w:shd w:fill="FFF2CC"/>
            <w:tcMar>
              <w:top w:w="100" w:type="dxa"/>
              <w:start w:w="100" w:type="dxa"/>
              <w:bottom w:w="100" w:type="dxa"/>
              <w:end w:w="100" w:type="dxa"/>
            </w:tcMar>
            <w:vAlign w:val="center"/>
          </w:tcPr>
          <w:p>
            <w:pPr>
              <w:spacing w:after="20"/>
            </w:pPr>
            <w:r>
              <w:rPr>
                <w:b/>
                <w:color w:val="7F6000"/>
              </w:rPr>
              <w:t xml:space="preserve">Limitation: </w:t>
            </w:r>
            <w:r>
              <w:t>The study is primarily about sales satisfaction; use only findings directly relevant to service handoff and ownership retention.</w:t>
            </w:r>
          </w:p>
        </w:tc>
      </w:tr>
    </w:tbl>
    <w:p>
      <w:pPr>
        <w:pStyle w:val="SourceLink"/>
      </w:pPr>
      <w:r>
        <w:rPr>
          <w:b/>
        </w:rPr>
        <w:t xml:space="preserve">Original source: </w:t>
      </w:r>
      <w:hyperlink r:id="rId19">
        <w:r>
          <w:rPr>
            <w:color w:val="0563C1"/>
            <w:u w:val="single"/>
          </w:rPr>
          <w:t>2025 U.S. Sales Satisfaction Index Study</w:t>
        </w:r>
      </w:hyperlink>
    </w:p>
    <w:p>
      <w:r>
        <w:br w:type="page"/>
      </w:r>
    </w:p>
    <w:p>
      <w:pPr>
        <w:pStyle w:val="Title"/>
      </w:pPr>
      <w:r>
        <w:t>10. 2026 Urban Science Harris Poll Report</w:t>
      </w:r>
    </w:p>
    <w:tbl>
      <w:tblPr>
        <w:tblW w:type="auto" w:w="0"/>
        <w:jc w:val="center"/>
        <w:tblLook w:firstColumn="1" w:firstRow="1" w:lastColumn="0" w:lastRow="0" w:noHBand="0" w:noVBand="1" w:val="04A0"/>
      </w:tblPr>
      <w:tblGrid>
        <w:gridCol w:w="3408"/>
        <w:gridCol w:w="3408"/>
        <w:gridCol w:w="3408"/>
      </w:tblGrid>
      <w:tr>
        <w:tc>
          <w:tcPr>
            <w:tcW w:type="dxa" w:w="3408"/>
            <w:shd w:fill="D9EAF7"/>
            <w:tcMar>
              <w:top w:w="65" w:type="dxa"/>
              <w:start w:w="65" w:type="dxa"/>
              <w:bottom w:w="65" w:type="dxa"/>
              <w:end w:w="65" w:type="dxa"/>
            </w:tcMar>
            <w:vAlign w:val="center"/>
          </w:tcPr>
          <w:p>
            <w:pPr>
              <w:spacing w:after="20"/>
            </w:pPr>
            <w:r>
              <w:rPr>
                <w:b/>
              </w:rPr>
              <w:t>Publisher</w:t>
            </w:r>
          </w:p>
        </w:tc>
        <w:tc>
          <w:tcPr>
            <w:tcW w:type="dxa" w:w="3408"/>
            <w:shd w:fill="D9EAF7"/>
            <w:tcMar>
              <w:top w:w="65" w:type="dxa"/>
              <w:start w:w="65" w:type="dxa"/>
              <w:bottom w:w="65" w:type="dxa"/>
              <w:end w:w="65" w:type="dxa"/>
            </w:tcMar>
            <w:vAlign w:val="center"/>
          </w:tcPr>
          <w:p>
            <w:pPr>
              <w:spacing w:after="20"/>
            </w:pPr>
            <w:r>
              <w:rPr>
                <w:b/>
              </w:rPr>
              <w:t>Publication / field period</w:t>
            </w:r>
          </w:p>
        </w:tc>
        <w:tc>
          <w:tcPr>
            <w:tcW w:type="dxa" w:w="3408"/>
            <w:shd w:fill="D9EAF7"/>
            <w:tcMar>
              <w:top w:w="65" w:type="dxa"/>
              <w:start w:w="65" w:type="dxa"/>
              <w:bottom w:w="65" w:type="dxa"/>
              <w:end w:w="65" w:type="dxa"/>
            </w:tcMar>
            <w:vAlign w:val="center"/>
          </w:tcPr>
          <w:p>
            <w:pPr>
              <w:spacing w:after="20"/>
            </w:pPr>
            <w:r>
              <w:rPr>
                <w:b/>
              </w:rPr>
              <w:t>Why selected</w:t>
            </w:r>
          </w:p>
        </w:tc>
      </w:tr>
      <w:tr>
        <w:tc>
          <w:tcPr>
            <w:tcW w:type="dxa" w:w="3408"/>
            <w:tcMar>
              <w:top w:w="65" w:type="dxa"/>
              <w:start w:w="65" w:type="dxa"/>
              <w:bottom w:w="65" w:type="dxa"/>
              <w:end w:w="65" w:type="dxa"/>
            </w:tcMar>
            <w:vAlign w:val="center"/>
          </w:tcPr>
          <w:p>
            <w:pPr>
              <w:spacing w:after="20"/>
            </w:pPr>
            <w:r>
              <w:t>Urban Science and The Harris Poll</w:t>
            </w:r>
          </w:p>
        </w:tc>
        <w:tc>
          <w:tcPr>
            <w:tcW w:type="dxa" w:w="3408"/>
            <w:tcMar>
              <w:top w:w="65" w:type="dxa"/>
              <w:start w:w="65" w:type="dxa"/>
              <w:bottom w:w="65" w:type="dxa"/>
              <w:end w:w="65" w:type="dxa"/>
            </w:tcMar>
            <w:vAlign w:val="center"/>
          </w:tcPr>
          <w:p>
            <w:pPr>
              <w:spacing w:after="20"/>
            </w:pPr>
            <w:r>
              <w:t>2026; 3,012 U.S. buyers and 252 dealers</w:t>
            </w:r>
          </w:p>
        </w:tc>
        <w:tc>
          <w:tcPr>
            <w:tcW w:type="dxa" w:w="3408"/>
            <w:tcMar>
              <w:top w:w="65" w:type="dxa"/>
              <w:start w:w="65" w:type="dxa"/>
              <w:bottom w:w="65" w:type="dxa"/>
              <w:end w:w="65" w:type="dxa"/>
            </w:tcMar>
            <w:vAlign w:val="center"/>
          </w:tcPr>
          <w:p>
            <w:pPr>
              <w:spacing w:after="20"/>
            </w:pPr>
            <w:r>
              <w:t>Adds service-network proximity, multipoint inspection, recommended-service conversion and service-to-sales context.</w:t>
            </w:r>
          </w:p>
        </w:tc>
      </w:tr>
    </w:tbl>
    <w:p>
      <w:pPr>
        <w:pStyle w:val="Heading2"/>
      </w:pPr>
      <w:r>
        <w:t>Key source findings</w:t>
      </w:r>
    </w:p>
    <w:p>
      <w:pPr>
        <w:pStyle w:val="ListBullet"/>
        <w:spacing w:after="40"/>
        <w:ind w:left="288" w:hanging="173"/>
      </w:pPr>
      <w:r>
        <w:t>The study includes proximity considerations for sales versus service network strategy.</w:t>
      </w:r>
    </w:p>
    <w:p>
      <w:pPr>
        <w:pStyle w:val="ListBullet"/>
        <w:spacing w:after="40"/>
        <w:ind w:left="288" w:hanging="173"/>
      </w:pPr>
      <w:r>
        <w:t>Its OEM findings cover service visits involving multipoint inspection, trade-in offers or sales introductions.</w:t>
      </w:r>
    </w:p>
    <w:p>
      <w:pPr>
        <w:pStyle w:val="ListBullet"/>
        <w:spacing w:after="40"/>
        <w:ind w:left="288" w:hanging="173"/>
      </w:pPr>
      <w:r>
        <w:t>It examines why buyers decline recommended services after a multipoint inspection.</w:t>
      </w:r>
    </w:p>
    <w:p>
      <w:pPr>
        <w:pStyle w:val="ListBullet"/>
        <w:spacing w:after="40"/>
        <w:ind w:left="288" w:hanging="173"/>
      </w:pPr>
      <w:r>
        <w:t>45% of U.S. buyers said they were less willing to travel far for service than for a new-vehicle purchase.</w:t>
      </w:r>
    </w:p>
    <w:p>
      <w:pPr>
        <w:pStyle w:val="ListBullet"/>
        <w:spacing w:after="40"/>
        <w:ind w:left="288" w:hanging="173"/>
      </w:pPr>
      <w:r>
        <w:t>The report addresses predictive intelligence and dealer follow-up.</w:t>
      </w:r>
    </w:p>
    <w:p>
      <w:pPr>
        <w:pStyle w:val="Heading2"/>
      </w:pPr>
      <w:r>
        <w:t>Service-retention segments</w:t>
      </w:r>
    </w:p>
    <w:tbl>
      <w:tblPr>
        <w:tblW w:type="auto" w:w="0"/>
        <w:jc w:val="center"/>
        <w:tblLook w:firstColumn="1" w:firstRow="1" w:lastColumn="0" w:lastRow="0" w:noHBand="0" w:noVBand="1" w:val="04A0"/>
      </w:tblPr>
      <w:tblGrid>
        <w:gridCol w:w="3408"/>
        <w:gridCol w:w="3408"/>
        <w:gridCol w:w="3408"/>
      </w:tblGrid>
      <w:tr>
        <w:tc>
          <w:tcPr>
            <w:tcW w:type="dxa" w:w="3408"/>
            <w:shd w:fill="EAF2F8"/>
            <w:tcMar>
              <w:top w:w="80" w:type="dxa"/>
              <w:start w:w="80" w:type="dxa"/>
              <w:bottom w:w="80" w:type="dxa"/>
              <w:end w:w="80" w:type="dxa"/>
            </w:tcMar>
            <w:vAlign w:val="center"/>
          </w:tcPr>
          <w:p>
            <w:pPr>
              <w:spacing w:after="20"/>
            </w:pPr>
            <w:r>
              <w:t>• Distance-sensitive service customer</w:t>
              <w:br/>
              <w:t>• Multipoint-inspection decline</w:t>
            </w:r>
          </w:p>
        </w:tc>
        <w:tc>
          <w:tcPr>
            <w:tcW w:type="dxa" w:w="3408"/>
            <w:shd w:fill="D9EAF7"/>
            <w:tcMar>
              <w:top w:w="80" w:type="dxa"/>
              <w:start w:w="80" w:type="dxa"/>
              <w:bottom w:w="80" w:type="dxa"/>
              <w:end w:w="80" w:type="dxa"/>
            </w:tcMar>
            <w:vAlign w:val="center"/>
          </w:tcPr>
          <w:p>
            <w:pPr>
              <w:spacing w:after="20"/>
            </w:pPr>
            <w:r>
              <w:t>• Local-service convenience need</w:t>
              <w:br/>
              <w:t>• Service-to-sales eligible</w:t>
            </w:r>
          </w:p>
        </w:tc>
        <w:tc>
          <w:tcPr>
            <w:tcW w:type="dxa" w:w="3408"/>
            <w:shd w:fill="EAF2F8"/>
            <w:tcMar>
              <w:top w:w="80" w:type="dxa"/>
              <w:start w:w="80" w:type="dxa"/>
              <w:bottom w:w="80" w:type="dxa"/>
              <w:end w:w="80" w:type="dxa"/>
            </w:tcMar>
            <w:vAlign w:val="center"/>
          </w:tcPr>
          <w:p>
            <w:pPr>
              <w:spacing w:after="20"/>
            </w:pPr>
            <w:r>
              <w:t>• Recommended-work non-converter</w:t>
            </w:r>
          </w:p>
        </w:tc>
      </w:tr>
    </w:tbl>
    <w:p>
      <w:pPr>
        <w:pStyle w:val="Heading2"/>
      </w:pPr>
      <w:r>
        <w:t>Recommended journey</w:t>
      </w:r>
    </w:p>
    <w:p>
      <w:r>
        <w:t>Service need → local provider selection → inspection → recommendation → barrier diagnosis → approved work or deferral → follow-up → retention/service-to-sales path.</w:t>
      </w:r>
    </w:p>
    <w:p>
      <w:pPr>
        <w:pStyle w:val="Heading2"/>
      </w:pPr>
      <w:r>
        <w:t>Application recommendations</w:t>
      </w:r>
    </w:p>
    <w:p>
      <w:pPr>
        <w:pStyle w:val="ListBullet"/>
        <w:spacing w:after="40"/>
        <w:ind w:left="288" w:hanging="173"/>
      </w:pPr>
      <w:r>
        <w:t>Include drive time and service-area coverage as operational context, not as a sensitive proxy.</w:t>
      </w:r>
    </w:p>
    <w:p>
      <w:pPr>
        <w:pStyle w:val="ListBullet"/>
        <w:spacing w:after="40"/>
        <w:ind w:left="288" w:hanging="173"/>
      </w:pPr>
      <w:r>
        <w:t>Capture reasons for declining recommended work.</w:t>
      </w:r>
    </w:p>
    <w:p>
      <w:pPr>
        <w:pStyle w:val="ListBullet"/>
        <w:spacing w:after="40"/>
        <w:ind w:left="288" w:hanging="173"/>
      </w:pPr>
      <w:r>
        <w:t>Use service-to-sales introductions only when appropriate and not during unresolved service issues.</w:t>
      </w:r>
    </w:p>
    <w:p>
      <w:pPr>
        <w:pStyle w:val="ListBullet"/>
        <w:spacing w:after="40"/>
        <w:ind w:left="288" w:hanging="173"/>
      </w:pPr>
      <w:r>
        <w:t>Measure offline completed repair orders as campaign outcomes.</w:t>
      </w:r>
    </w:p>
    <w:tbl>
      <w:tblPr>
        <w:tblW w:type="auto" w:w="0"/>
        <w:tblLook w:firstColumn="1" w:firstRow="1" w:lastColumn="0" w:lastRow="0" w:noHBand="0" w:noVBand="1" w:val="04A0"/>
      </w:tblPr>
      <w:tblGrid>
        <w:gridCol w:w="10224"/>
      </w:tblGrid>
      <w:tr>
        <w:tc>
          <w:tcPr>
            <w:tcW w:type="dxa" w:w="10224"/>
            <w:shd w:fill="FFF2CC"/>
            <w:tcMar>
              <w:top w:w="100" w:type="dxa"/>
              <w:start w:w="100" w:type="dxa"/>
              <w:bottom w:w="100" w:type="dxa"/>
              <w:end w:w="100" w:type="dxa"/>
            </w:tcMar>
            <w:vAlign w:val="center"/>
          </w:tcPr>
          <w:p>
            <w:pPr>
              <w:spacing w:after="20"/>
            </w:pPr>
            <w:r>
              <w:rPr>
                <w:b/>
                <w:color w:val="7F6000"/>
              </w:rPr>
              <w:t xml:space="preserve">Limitation: </w:t>
            </w:r>
            <w:r>
              <w:t>Some detailed service findings are gated on the publisher page.</w:t>
            </w:r>
          </w:p>
        </w:tc>
      </w:tr>
    </w:tbl>
    <w:p>
      <w:pPr>
        <w:pStyle w:val="SourceLink"/>
      </w:pPr>
      <w:r>
        <w:rPr>
          <w:b/>
        </w:rPr>
        <w:t xml:space="preserve">Original source: </w:t>
      </w:r>
      <w:hyperlink r:id="rId20">
        <w:r>
          <w:rPr>
            <w:color w:val="0563C1"/>
            <w:u w:val="single"/>
          </w:rPr>
          <w:t>2026 Urban Science Harris Poll Report</w:t>
        </w:r>
      </w:hyperlink>
    </w:p>
    <w:p>
      <w:r>
        <w:br w:type="page"/>
      </w:r>
    </w:p>
    <w:p>
      <w:pPr>
        <w:pStyle w:val="Title"/>
      </w:pPr>
      <w:r>
        <w:t>Recommended Service-Retention Segmentation Model</w:t>
      </w:r>
    </w:p>
    <w:tbl>
      <w:tblPr>
        <w:tblW w:type="auto" w:w="0"/>
        <w:jc w:val="center"/>
        <w:tblLook w:firstColumn="1" w:firstRow="1" w:lastColumn="0" w:lastRow="0" w:noHBand="0" w:noVBand="1" w:val="04A0"/>
      </w:tblPr>
      <w:tblGrid>
        <w:gridCol w:w="5112"/>
        <w:gridCol w:w="5112"/>
      </w:tblGrid>
      <w:tr>
        <w:tc>
          <w:tcPr>
            <w:tcW w:type="dxa" w:w="5112"/>
            <w:shd w:fill="17365D"/>
            <w:tcMar>
              <w:top w:w="90" w:type="dxa"/>
              <w:start w:w="90" w:type="dxa"/>
              <w:bottom w:w="90" w:type="dxa"/>
              <w:end w:w="90" w:type="dxa"/>
            </w:tcMar>
            <w:vAlign w:val="center"/>
          </w:tcPr>
          <w:p>
            <w:pPr>
              <w:spacing w:after="20"/>
            </w:pPr>
            <w:r>
              <w:rPr>
                <w:b/>
                <w:color w:val="FFFFFF"/>
              </w:rPr>
              <w:t>Layer</w:t>
            </w:r>
          </w:p>
        </w:tc>
        <w:tc>
          <w:tcPr>
            <w:tcW w:type="dxa" w:w="5112"/>
            <w:shd w:fill="17365D"/>
            <w:tcMar>
              <w:top w:w="90" w:type="dxa"/>
              <w:start w:w="90" w:type="dxa"/>
              <w:bottom w:w="90" w:type="dxa"/>
              <w:end w:w="90" w:type="dxa"/>
            </w:tcMar>
            <w:vAlign w:val="center"/>
          </w:tcPr>
          <w:p>
            <w:pPr>
              <w:spacing w:after="20"/>
            </w:pPr>
            <w:r>
              <w:rPr>
                <w:b/>
                <w:color w:val="FFFFFF"/>
              </w:rPr>
              <w:t>Required design</w:t>
            </w:r>
          </w:p>
        </w:tc>
      </w:tr>
      <w:tr>
        <w:tc>
          <w:tcPr>
            <w:tcW w:type="dxa" w:w="5112"/>
            <w:shd w:fill="D9EAF7"/>
            <w:tcMar>
              <w:top w:w="80" w:type="dxa"/>
              <w:start w:w="80" w:type="dxa"/>
              <w:bottom w:w="80" w:type="dxa"/>
              <w:end w:w="80" w:type="dxa"/>
            </w:tcMar>
            <w:vAlign w:val="center"/>
          </w:tcPr>
          <w:p>
            <w:pPr>
              <w:spacing w:after="20"/>
            </w:pPr>
            <w:r>
              <w:rPr>
                <w:b/>
              </w:rPr>
              <w:t>Eligibility</w:t>
            </w:r>
          </w:p>
        </w:tc>
        <w:tc>
          <w:tcPr>
            <w:tcW w:type="dxa" w:w="5112"/>
            <w:tcMar>
              <w:top w:w="80" w:type="dxa"/>
              <w:start w:w="80" w:type="dxa"/>
              <w:bottom w:w="80" w:type="dxa"/>
              <w:end w:w="80" w:type="dxa"/>
            </w:tcMar>
            <w:vAlign w:val="center"/>
          </w:tcPr>
          <w:p>
            <w:pPr>
              <w:spacing w:after="20"/>
            </w:pPr>
            <w:r>
              <w:t>Verified current ownership, active vehicle relationship, consent, permitted channel and no suppression.</w:t>
            </w:r>
          </w:p>
        </w:tc>
      </w:tr>
      <w:tr>
        <w:tc>
          <w:tcPr>
            <w:tcW w:type="dxa" w:w="5112"/>
            <w:shd w:fill="D9EAF7"/>
            <w:tcMar>
              <w:top w:w="80" w:type="dxa"/>
              <w:start w:w="80" w:type="dxa"/>
              <w:bottom w:w="80" w:type="dxa"/>
              <w:end w:w="80" w:type="dxa"/>
            </w:tcMar>
            <w:vAlign w:val="center"/>
          </w:tcPr>
          <w:p>
            <w:pPr>
              <w:spacing w:after="20"/>
            </w:pPr>
            <w:r>
              <w:rPr>
                <w:b/>
              </w:rPr>
              <w:t>Ownership/service lifecycle</w:t>
            </w:r>
          </w:p>
        </w:tc>
        <w:tc>
          <w:tcPr>
            <w:tcW w:type="dxa" w:w="5112"/>
            <w:tcMar>
              <w:top w:w="80" w:type="dxa"/>
              <w:start w:w="80" w:type="dxa"/>
              <w:bottom w:w="80" w:type="dxa"/>
              <w:end w:w="80" w:type="dxa"/>
            </w:tcMar>
            <w:vAlign w:val="center"/>
          </w:tcPr>
          <w:p>
            <w:pPr>
              <w:spacing w:after="20"/>
            </w:pPr>
            <w:r>
              <w:t>Delivered, first service due, complimentary maintenance, active paid service, warranty transition, post-warranty, dormant.</w:t>
            </w:r>
          </w:p>
        </w:tc>
      </w:tr>
      <w:tr>
        <w:tc>
          <w:tcPr>
            <w:tcW w:type="dxa" w:w="5112"/>
            <w:shd w:fill="D9EAF7"/>
            <w:tcMar>
              <w:top w:w="80" w:type="dxa"/>
              <w:start w:w="80" w:type="dxa"/>
              <w:bottom w:w="80" w:type="dxa"/>
              <w:end w:w="80" w:type="dxa"/>
            </w:tcMar>
            <w:vAlign w:val="center"/>
          </w:tcPr>
          <w:p>
            <w:pPr>
              <w:spacing w:after="20"/>
            </w:pPr>
            <w:r>
              <w:rPr>
                <w:b/>
              </w:rPr>
              <w:t>Service behavior</w:t>
            </w:r>
          </w:p>
        </w:tc>
        <w:tc>
          <w:tcPr>
            <w:tcW w:type="dxa" w:w="5112"/>
            <w:tcMar>
              <w:top w:w="80" w:type="dxa"/>
              <w:start w:w="80" w:type="dxa"/>
              <w:bottom w:w="80" w:type="dxa"/>
              <w:end w:w="80" w:type="dxa"/>
            </w:tcMar>
            <w:vAlign w:val="center"/>
          </w:tcPr>
          <w:p>
            <w:pPr>
              <w:spacing w:after="20"/>
            </w:pPr>
            <w:r>
              <w:t>Recency, frequency, expected-service gap, repair category, declined work, provider and completed repair orders.</w:t>
            </w:r>
          </w:p>
        </w:tc>
      </w:tr>
      <w:tr>
        <w:tc>
          <w:tcPr>
            <w:tcW w:type="dxa" w:w="5112"/>
            <w:shd w:fill="D9EAF7"/>
            <w:tcMar>
              <w:top w:w="80" w:type="dxa"/>
              <w:start w:w="80" w:type="dxa"/>
              <w:bottom w:w="80" w:type="dxa"/>
              <w:end w:w="80" w:type="dxa"/>
            </w:tcMar>
            <w:vAlign w:val="center"/>
          </w:tcPr>
          <w:p>
            <w:pPr>
              <w:spacing w:after="20"/>
            </w:pPr>
            <w:r>
              <w:rPr>
                <w:b/>
              </w:rPr>
              <w:t>Operational experience</w:t>
            </w:r>
          </w:p>
        </w:tc>
        <w:tc>
          <w:tcPr>
            <w:tcW w:type="dxa" w:w="5112"/>
            <w:tcMar>
              <w:top w:w="80" w:type="dxa"/>
              <w:start w:w="80" w:type="dxa"/>
              <w:bottom w:w="80" w:type="dxa"/>
              <w:end w:w="80" w:type="dxa"/>
            </w:tcMar>
            <w:vAlign w:val="center"/>
          </w:tcPr>
          <w:p>
            <w:pPr>
              <w:spacing w:after="20"/>
            </w:pPr>
            <w:r>
              <w:t>Appointment lead time, status updates, completion time, parts delay, first-time fix and advisor continuity.</w:t>
            </w:r>
          </w:p>
        </w:tc>
      </w:tr>
      <w:tr>
        <w:tc>
          <w:tcPr>
            <w:tcW w:type="dxa" w:w="5112"/>
            <w:shd w:fill="D9EAF7"/>
            <w:tcMar>
              <w:top w:w="80" w:type="dxa"/>
              <w:start w:w="80" w:type="dxa"/>
              <w:bottom w:w="80" w:type="dxa"/>
              <w:end w:w="80" w:type="dxa"/>
            </w:tcMar>
            <w:vAlign w:val="center"/>
          </w:tcPr>
          <w:p>
            <w:pPr>
              <w:spacing w:after="20"/>
            </w:pPr>
            <w:r>
              <w:rPr>
                <w:b/>
              </w:rPr>
              <w:t>Customer perception</w:t>
            </w:r>
          </w:p>
        </w:tc>
        <w:tc>
          <w:tcPr>
            <w:tcW w:type="dxa" w:w="5112"/>
            <w:tcMar>
              <w:top w:w="80" w:type="dxa"/>
              <w:start w:w="80" w:type="dxa"/>
              <w:bottom w:w="80" w:type="dxa"/>
              <w:end w:w="80" w:type="dxa"/>
            </w:tcMar>
            <w:vAlign w:val="center"/>
          </w:tcPr>
          <w:p>
            <w:pPr>
              <w:spacing w:after="20"/>
            </w:pPr>
            <w:r>
              <w:t>Price fairness, unexpected cost, convenience, trust, communication quality and satisfaction.</w:t>
            </w:r>
          </w:p>
        </w:tc>
      </w:tr>
      <w:tr>
        <w:tc>
          <w:tcPr>
            <w:tcW w:type="dxa" w:w="5112"/>
            <w:shd w:fill="D9EAF7"/>
            <w:tcMar>
              <w:top w:w="80" w:type="dxa"/>
              <w:start w:w="80" w:type="dxa"/>
              <w:bottom w:w="80" w:type="dxa"/>
              <w:end w:w="80" w:type="dxa"/>
            </w:tcMar>
            <w:vAlign w:val="center"/>
          </w:tcPr>
          <w:p>
            <w:pPr>
              <w:spacing w:after="20"/>
            </w:pPr>
            <w:r>
              <w:rPr>
                <w:b/>
              </w:rPr>
              <w:t>Retention risk</w:t>
            </w:r>
          </w:p>
        </w:tc>
        <w:tc>
          <w:tcPr>
            <w:tcW w:type="dxa" w:w="5112"/>
            <w:tcMar>
              <w:top w:w="80" w:type="dxa"/>
              <w:start w:w="80" w:type="dxa"/>
              <w:bottom w:w="80" w:type="dxa"/>
              <w:end w:w="80" w:type="dxa"/>
            </w:tcMar>
            <w:vAlign w:val="center"/>
          </w:tcPr>
          <w:p>
            <w:pPr>
              <w:spacing w:after="20"/>
            </w:pPr>
            <w:r>
              <w:t>Probability of missing next dealer service, becoming dormant or migrating to another provider.</w:t>
            </w:r>
          </w:p>
        </w:tc>
      </w:tr>
      <w:tr>
        <w:tc>
          <w:tcPr>
            <w:tcW w:type="dxa" w:w="5112"/>
            <w:shd w:fill="D9EAF7"/>
            <w:tcMar>
              <w:top w:w="80" w:type="dxa"/>
              <w:start w:w="80" w:type="dxa"/>
              <w:bottom w:w="80" w:type="dxa"/>
              <w:end w:w="80" w:type="dxa"/>
            </w:tcMar>
            <w:vAlign w:val="center"/>
          </w:tcPr>
          <w:p>
            <w:pPr>
              <w:spacing w:after="20"/>
            </w:pPr>
            <w:r>
              <w:rPr>
                <w:b/>
              </w:rPr>
              <w:t>Root cause</w:t>
            </w:r>
          </w:p>
        </w:tc>
        <w:tc>
          <w:tcPr>
            <w:tcW w:type="dxa" w:w="5112"/>
            <w:tcMar>
              <w:top w:w="80" w:type="dxa"/>
              <w:start w:w="80" w:type="dxa"/>
              <w:bottom w:w="80" w:type="dxa"/>
              <w:end w:w="80" w:type="dxa"/>
            </w:tcMar>
            <w:vAlign w:val="center"/>
          </w:tcPr>
          <w:p>
            <w:pPr>
              <w:spacing w:after="20"/>
            </w:pPr>
            <w:r>
              <w:t>Price perception, scheduling, communication, convenience, technical quality, parts, EV capability or education.</w:t>
            </w:r>
          </w:p>
        </w:tc>
      </w:tr>
      <w:tr>
        <w:tc>
          <w:tcPr>
            <w:tcW w:type="dxa" w:w="5112"/>
            <w:shd w:fill="D9EAF7"/>
            <w:tcMar>
              <w:top w:w="80" w:type="dxa"/>
              <w:start w:w="80" w:type="dxa"/>
              <w:bottom w:w="80" w:type="dxa"/>
              <w:end w:w="80" w:type="dxa"/>
            </w:tcMar>
            <w:vAlign w:val="center"/>
          </w:tcPr>
          <w:p>
            <w:pPr>
              <w:spacing w:after="20"/>
            </w:pPr>
            <w:r>
              <w:rPr>
                <w:b/>
              </w:rPr>
              <w:t>Treatment</w:t>
            </w:r>
          </w:p>
        </w:tc>
        <w:tc>
          <w:tcPr>
            <w:tcW w:type="dxa" w:w="5112"/>
            <w:tcMar>
              <w:top w:w="80" w:type="dxa"/>
              <w:start w:w="80" w:type="dxa"/>
              <w:bottom w:w="80" w:type="dxa"/>
              <w:end w:w="80" w:type="dxa"/>
            </w:tcMar>
            <w:vAlign w:val="center"/>
          </w:tcPr>
          <w:p>
            <w:pPr>
              <w:spacing w:after="20"/>
            </w:pPr>
            <w:r>
              <w:t>Remind, explain, schedule, update, recover, provide evidence, offer convenience, escalate or suppress.</w:t>
            </w:r>
          </w:p>
        </w:tc>
      </w:tr>
    </w:tbl>
    <w:p>
      <w:pPr>
        <w:pStyle w:val="Heading1"/>
      </w:pPr>
      <w:r>
        <w:t>Critical distinction</w:t>
      </w:r>
    </w:p>
    <w:p>
      <w:r>
        <w:t>The risk score identifies who may leave. The reason code identifies why. The treatment policy determines what can be done. These must remain separate so customers with similar risk receive different, relevant interventions.</w:t>
      </w:r>
    </w:p>
    <w:p>
      <w:r>
        <w:br w:type="page"/>
      </w:r>
    </w:p>
    <w:p>
      <w:pPr>
        <w:pStyle w:val="Title"/>
      </w:pPr>
      <w:r>
        <w:t>Priority Service-Retention Segments</w:t>
      </w:r>
    </w:p>
    <w:p>
      <w:pPr>
        <w:pStyle w:val="Heading2"/>
      </w:pPr>
      <w:r>
        <w:t>Early ownership</w:t>
      </w:r>
    </w:p>
    <w:tbl>
      <w:tblPr>
        <w:tblW w:type="auto" w:w="0"/>
        <w:jc w:val="center"/>
        <w:tblLook w:firstColumn="1" w:firstRow="1" w:lastColumn="0" w:lastRow="0" w:noHBand="0" w:noVBand="1" w:val="04A0"/>
      </w:tblPr>
      <w:tblGrid>
        <w:gridCol w:w="3408"/>
        <w:gridCol w:w="3408"/>
        <w:gridCol w:w="3408"/>
      </w:tblGrid>
      <w:tr>
        <w:tc>
          <w:tcPr>
            <w:tcW w:type="dxa" w:w="3408"/>
            <w:shd w:fill="EAF2F8"/>
            <w:tcMar>
              <w:top w:w="75" w:type="dxa"/>
              <w:start w:w="75" w:type="dxa"/>
              <w:bottom w:w="75" w:type="dxa"/>
              <w:end w:w="75" w:type="dxa"/>
            </w:tcMar>
            <w:vAlign w:val="center"/>
          </w:tcPr>
          <w:p>
            <w:pPr>
              <w:spacing w:after="20"/>
            </w:pPr>
            <w:r>
              <w:t>First service not booked</w:t>
            </w:r>
          </w:p>
        </w:tc>
        <w:tc>
          <w:tcPr>
            <w:tcW w:type="dxa" w:w="3408"/>
            <w:shd w:fill="D9EAF7"/>
            <w:tcMar>
              <w:top w:w="75" w:type="dxa"/>
              <w:start w:w="75" w:type="dxa"/>
              <w:bottom w:w="75" w:type="dxa"/>
              <w:end w:w="75" w:type="dxa"/>
            </w:tcMar>
            <w:vAlign w:val="center"/>
          </w:tcPr>
          <w:p>
            <w:pPr>
              <w:spacing w:after="20"/>
            </w:pPr>
            <w:r>
              <w:t>First service approaching</w:t>
            </w:r>
          </w:p>
        </w:tc>
        <w:tc>
          <w:tcPr>
            <w:tcW w:type="dxa" w:w="3408"/>
            <w:shd w:fill="EAF2F8"/>
            <w:tcMar>
              <w:top w:w="75" w:type="dxa"/>
              <w:start w:w="75" w:type="dxa"/>
              <w:bottom w:w="75" w:type="dxa"/>
              <w:end w:w="75" w:type="dxa"/>
            </w:tcMar>
            <w:vAlign w:val="center"/>
          </w:tcPr>
          <w:p>
            <w:pPr>
              <w:spacing w:after="20"/>
            </w:pPr>
            <w:r>
              <w:t>First service overdue</w:t>
            </w:r>
          </w:p>
        </w:tc>
      </w:tr>
      <w:tr>
        <w:tc>
          <w:tcPr>
            <w:tcW w:type="dxa" w:w="3408"/>
            <w:shd w:fill="D9EAF7"/>
            <w:tcMar>
              <w:top w:w="75" w:type="dxa"/>
              <w:start w:w="75" w:type="dxa"/>
              <w:bottom w:w="75" w:type="dxa"/>
              <w:end w:w="75" w:type="dxa"/>
            </w:tcMar>
            <w:vAlign w:val="center"/>
          </w:tcPr>
          <w:p>
            <w:pPr>
              <w:spacing w:after="20"/>
            </w:pPr>
            <w:r>
              <w:t>Complimentary maintenance underused</w:t>
            </w:r>
          </w:p>
        </w:tc>
        <w:tc>
          <w:tcPr>
            <w:tcW w:type="dxa" w:w="3408"/>
            <w:shd w:fill="EAF2F8"/>
            <w:tcMar>
              <w:top w:w="75" w:type="dxa"/>
              <w:start w:w="75" w:type="dxa"/>
              <w:bottom w:w="75" w:type="dxa"/>
              <w:end w:w="75" w:type="dxa"/>
            </w:tcMar>
            <w:vAlign w:val="center"/>
          </w:tcPr>
          <w:p>
            <w:pPr>
              <w:spacing w:after="20"/>
            </w:pPr>
            <w:r>
              <w:t>Sales-to-service handoff incomplete</w:t>
            </w:r>
          </w:p>
        </w:tc>
        <w:tc>
          <w:tcPr>
            <w:tcW w:type="dxa" w:w="3408"/>
            <w:shd w:fill="D9EAF7"/>
            <w:tcMar>
              <w:top w:w="75" w:type="dxa"/>
              <w:start w:w="75" w:type="dxa"/>
              <w:bottom w:w="75" w:type="dxa"/>
              <w:end w:w="75" w:type="dxa"/>
            </w:tcMar>
            <w:vAlign w:val="center"/>
          </w:tcPr>
          <w:p>
            <w:pPr>
              <w:spacing w:after="20"/>
            </w:pPr>
            <w:r>
              <w:t>First-time EV onboarding gap</w:t>
            </w:r>
          </w:p>
        </w:tc>
      </w:tr>
    </w:tbl>
    <w:p>
      <w:pPr>
        <w:pStyle w:val="Heading2"/>
      </w:pPr>
      <w:r>
        <w:t>Active but at risk</w:t>
      </w:r>
    </w:p>
    <w:tbl>
      <w:tblPr>
        <w:tblW w:type="auto" w:w="0"/>
        <w:jc w:val="center"/>
        <w:tblLook w:firstColumn="1" w:firstRow="1" w:lastColumn="0" w:lastRow="0" w:noHBand="0" w:noVBand="1" w:val="04A0"/>
      </w:tblPr>
      <w:tblGrid>
        <w:gridCol w:w="3408"/>
        <w:gridCol w:w="3408"/>
        <w:gridCol w:w="3408"/>
      </w:tblGrid>
      <w:tr>
        <w:tc>
          <w:tcPr>
            <w:tcW w:type="dxa" w:w="3408"/>
            <w:shd w:fill="EAF2F8"/>
            <w:tcMar>
              <w:top w:w="75" w:type="dxa"/>
              <w:start w:w="75" w:type="dxa"/>
              <w:bottom w:w="75" w:type="dxa"/>
              <w:end w:w="75" w:type="dxa"/>
            </w:tcMar>
            <w:vAlign w:val="center"/>
          </w:tcPr>
          <w:p>
            <w:pPr>
              <w:spacing w:after="20"/>
            </w:pPr>
            <w:r>
              <w:t>Appointment-delay risk</w:t>
            </w:r>
          </w:p>
        </w:tc>
        <w:tc>
          <w:tcPr>
            <w:tcW w:type="dxa" w:w="3408"/>
            <w:shd w:fill="D9EAF7"/>
            <w:tcMar>
              <w:top w:w="75" w:type="dxa"/>
              <w:start w:w="75" w:type="dxa"/>
              <w:bottom w:w="75" w:type="dxa"/>
              <w:end w:w="75" w:type="dxa"/>
            </w:tcMar>
            <w:vAlign w:val="center"/>
          </w:tcPr>
          <w:p>
            <w:pPr>
              <w:spacing w:after="20"/>
            </w:pPr>
            <w:r>
              <w:t>Text-preference mismatch</w:t>
            </w:r>
          </w:p>
        </w:tc>
        <w:tc>
          <w:tcPr>
            <w:tcW w:type="dxa" w:w="3408"/>
            <w:shd w:fill="EAF2F8"/>
            <w:tcMar>
              <w:top w:w="75" w:type="dxa"/>
              <w:start w:w="75" w:type="dxa"/>
              <w:bottom w:w="75" w:type="dxa"/>
              <w:end w:w="75" w:type="dxa"/>
            </w:tcMar>
            <w:vAlign w:val="center"/>
          </w:tcPr>
          <w:p>
            <w:pPr>
              <w:spacing w:after="20"/>
            </w:pPr>
            <w:r>
              <w:t>Unexpected-cost dissatisfaction</w:t>
            </w:r>
          </w:p>
        </w:tc>
      </w:tr>
      <w:tr>
        <w:tc>
          <w:tcPr>
            <w:tcW w:type="dxa" w:w="3408"/>
            <w:shd w:fill="D9EAF7"/>
            <w:tcMar>
              <w:top w:w="75" w:type="dxa"/>
              <w:start w:w="75" w:type="dxa"/>
              <w:bottom w:w="75" w:type="dxa"/>
              <w:end w:w="75" w:type="dxa"/>
            </w:tcMar>
            <w:vAlign w:val="center"/>
          </w:tcPr>
          <w:p>
            <w:pPr>
              <w:spacing w:after="20"/>
            </w:pPr>
            <w:r>
              <w:t>Price-perception risk</w:t>
            </w:r>
          </w:p>
        </w:tc>
        <w:tc>
          <w:tcPr>
            <w:tcW w:type="dxa" w:w="3408"/>
            <w:shd w:fill="EAF2F8"/>
            <w:tcMar>
              <w:top w:w="75" w:type="dxa"/>
              <w:start w:w="75" w:type="dxa"/>
              <w:bottom w:w="75" w:type="dxa"/>
              <w:end w:w="75" w:type="dxa"/>
            </w:tcMar>
            <w:vAlign w:val="center"/>
          </w:tcPr>
          <w:p>
            <w:pPr>
              <w:spacing w:after="20"/>
            </w:pPr>
            <w:r>
              <w:t>Declined-work customer</w:t>
            </w:r>
          </w:p>
        </w:tc>
        <w:tc>
          <w:tcPr>
            <w:tcW w:type="dxa" w:w="3408"/>
            <w:shd w:fill="D9EAF7"/>
            <w:tcMar>
              <w:top w:w="75" w:type="dxa"/>
              <w:start w:w="75" w:type="dxa"/>
              <w:bottom w:w="75" w:type="dxa"/>
              <w:end w:w="75" w:type="dxa"/>
            </w:tcMar>
            <w:vAlign w:val="center"/>
          </w:tcPr>
          <w:p>
            <w:pPr>
              <w:spacing w:after="20"/>
            </w:pPr>
            <w:r>
              <w:t>Parts-delay frustration</w:t>
            </w:r>
          </w:p>
        </w:tc>
      </w:tr>
      <w:tr>
        <w:tc>
          <w:tcPr>
            <w:tcW w:type="dxa" w:w="3408"/>
            <w:shd w:fill="EAF2F8"/>
            <w:tcMar>
              <w:top w:w="75" w:type="dxa"/>
              <w:start w:w="75" w:type="dxa"/>
              <w:bottom w:w="75" w:type="dxa"/>
              <w:end w:w="75" w:type="dxa"/>
            </w:tcMar>
            <w:vAlign w:val="center"/>
          </w:tcPr>
          <w:p>
            <w:pPr>
              <w:spacing w:after="20"/>
            </w:pPr>
            <w:r>
              <w:t>Repair not fixed first time</w:t>
            </w:r>
          </w:p>
        </w:tc>
        <w:tc>
          <w:tcPr>
            <w:tcW w:type="dxa" w:w="3408"/>
            <w:shd w:fill="D9EAF7"/>
            <w:tcMar>
              <w:top w:w="75" w:type="dxa"/>
              <w:start w:w="75" w:type="dxa"/>
              <w:bottom w:w="75" w:type="dxa"/>
              <w:end w:w="75" w:type="dxa"/>
            </w:tcMar>
            <w:vAlign w:val="center"/>
          </w:tcPr>
          <w:p>
            <w:pPr>
              <w:spacing w:after="20"/>
            </w:pPr>
            <w:r>
              <w:t>Warranty-transition risk</w:t>
            </w:r>
          </w:p>
        </w:tc>
        <w:tc>
          <w:tcPr>
            <w:tcW w:type="dxa" w:w="3408"/>
            <w:vAlign w:val="center"/>
          </w:tcPr>
          <w:p>
            <w:pPr>
              <w:spacing w:after="20"/>
            </w:pPr>
          </w:p>
        </w:tc>
      </w:tr>
    </w:tbl>
    <w:p>
      <w:pPr>
        <w:pStyle w:val="Heading2"/>
      </w:pPr>
      <w:r>
        <w:t>Defected or dormant</w:t>
      </w:r>
    </w:p>
    <w:tbl>
      <w:tblPr>
        <w:tblW w:type="auto" w:w="0"/>
        <w:jc w:val="center"/>
        <w:tblLook w:firstColumn="1" w:firstRow="1" w:lastColumn="0" w:lastRow="0" w:noHBand="0" w:noVBand="1" w:val="04A0"/>
      </w:tblPr>
      <w:tblGrid>
        <w:gridCol w:w="3408"/>
        <w:gridCol w:w="3408"/>
        <w:gridCol w:w="3408"/>
      </w:tblGrid>
      <w:tr>
        <w:tc>
          <w:tcPr>
            <w:tcW w:type="dxa" w:w="3408"/>
            <w:shd w:fill="EAF2F8"/>
            <w:tcMar>
              <w:top w:w="75" w:type="dxa"/>
              <w:start w:w="75" w:type="dxa"/>
              <w:bottom w:w="75" w:type="dxa"/>
              <w:end w:w="75" w:type="dxa"/>
            </w:tcMar>
            <w:vAlign w:val="center"/>
          </w:tcPr>
          <w:p>
            <w:pPr>
              <w:spacing w:after="20"/>
            </w:pPr>
            <w:r>
              <w:t>Missed expected service</w:t>
            </w:r>
          </w:p>
        </w:tc>
        <w:tc>
          <w:tcPr>
            <w:tcW w:type="dxa" w:w="3408"/>
            <w:shd w:fill="D9EAF7"/>
            <w:tcMar>
              <w:top w:w="75" w:type="dxa"/>
              <w:start w:w="75" w:type="dxa"/>
              <w:bottom w:w="75" w:type="dxa"/>
              <w:end w:w="75" w:type="dxa"/>
            </w:tcMar>
            <w:vAlign w:val="center"/>
          </w:tcPr>
          <w:p>
            <w:pPr>
              <w:spacing w:after="20"/>
            </w:pPr>
            <w:r>
              <w:t>Dormant 6-12 months</w:t>
            </w:r>
          </w:p>
        </w:tc>
        <w:tc>
          <w:tcPr>
            <w:tcW w:type="dxa" w:w="3408"/>
            <w:shd w:fill="EAF2F8"/>
            <w:tcMar>
              <w:top w:w="75" w:type="dxa"/>
              <w:start w:w="75" w:type="dxa"/>
              <w:bottom w:w="75" w:type="dxa"/>
              <w:end w:w="75" w:type="dxa"/>
            </w:tcMar>
            <w:vAlign w:val="center"/>
          </w:tcPr>
          <w:p>
            <w:pPr>
              <w:spacing w:after="20"/>
            </w:pPr>
            <w:r>
              <w:t>Likely quick-lube migrator</w:t>
            </w:r>
          </w:p>
        </w:tc>
      </w:tr>
      <w:tr>
        <w:tc>
          <w:tcPr>
            <w:tcW w:type="dxa" w:w="3408"/>
            <w:shd w:fill="D9EAF7"/>
            <w:tcMar>
              <w:top w:w="75" w:type="dxa"/>
              <w:start w:w="75" w:type="dxa"/>
              <w:bottom w:w="75" w:type="dxa"/>
              <w:end w:w="75" w:type="dxa"/>
            </w:tcMar>
            <w:vAlign w:val="center"/>
          </w:tcPr>
          <w:p>
            <w:pPr>
              <w:spacing w:after="20"/>
            </w:pPr>
            <w:r>
              <w:t>Likely tire-chain migrator</w:t>
            </w:r>
          </w:p>
        </w:tc>
        <w:tc>
          <w:tcPr>
            <w:tcW w:type="dxa" w:w="3408"/>
            <w:shd w:fill="EAF2F8"/>
            <w:tcMar>
              <w:top w:w="75" w:type="dxa"/>
              <w:start w:w="75" w:type="dxa"/>
              <w:bottom w:w="75" w:type="dxa"/>
              <w:end w:w="75" w:type="dxa"/>
            </w:tcMar>
            <w:vAlign w:val="center"/>
          </w:tcPr>
          <w:p>
            <w:pPr>
              <w:spacing w:after="20"/>
            </w:pPr>
            <w:r>
              <w:t>Likely independent-shop migrator</w:t>
            </w:r>
          </w:p>
        </w:tc>
        <w:tc>
          <w:tcPr>
            <w:tcW w:type="dxa" w:w="3408"/>
            <w:shd w:fill="D9EAF7"/>
            <w:tcMar>
              <w:top w:w="75" w:type="dxa"/>
              <w:start w:w="75" w:type="dxa"/>
              <w:bottom w:w="75" w:type="dxa"/>
              <w:end w:w="75" w:type="dxa"/>
            </w:tcMar>
            <w:vAlign w:val="center"/>
          </w:tcPr>
          <w:p>
            <w:pPr>
              <w:spacing w:after="20"/>
            </w:pPr>
            <w:r>
              <w:t>Mobile-service competitor user</w:t>
            </w:r>
          </w:p>
        </w:tc>
      </w:tr>
      <w:tr>
        <w:tc>
          <w:tcPr>
            <w:tcW w:type="dxa" w:w="3408"/>
            <w:shd w:fill="EAF2F8"/>
            <w:tcMar>
              <w:top w:w="75" w:type="dxa"/>
              <w:start w:w="75" w:type="dxa"/>
              <w:bottom w:w="75" w:type="dxa"/>
              <w:end w:w="75" w:type="dxa"/>
            </w:tcMar>
            <w:vAlign w:val="center"/>
          </w:tcPr>
          <w:p>
            <w:pPr>
              <w:spacing w:after="20"/>
            </w:pPr>
            <w:r>
              <w:t>High-value win-back</w:t>
            </w:r>
          </w:p>
        </w:tc>
        <w:tc>
          <w:tcPr>
            <w:tcW w:type="dxa" w:w="3408"/>
            <w:vAlign w:val="center"/>
          </w:tcPr>
          <w:p>
            <w:pPr>
              <w:spacing w:after="20"/>
            </w:pPr>
          </w:p>
        </w:tc>
        <w:tc>
          <w:tcPr>
            <w:tcW w:type="dxa" w:w="3408"/>
            <w:vAlign w:val="center"/>
          </w:tcPr>
          <w:p>
            <w:pPr>
              <w:spacing w:after="20"/>
            </w:pPr>
          </w:p>
        </w:tc>
      </w:tr>
    </w:tbl>
    <w:p>
      <w:pPr>
        <w:pStyle w:val="Heading2"/>
      </w:pPr>
      <w:r>
        <w:t>Service opportunity</w:t>
      </w:r>
    </w:p>
    <w:tbl>
      <w:tblPr>
        <w:tblW w:type="auto" w:w="0"/>
        <w:jc w:val="center"/>
        <w:tblLook w:firstColumn="1" w:firstRow="1" w:lastColumn="0" w:lastRow="0" w:noHBand="0" w:noVBand="1" w:val="04A0"/>
      </w:tblPr>
      <w:tblGrid>
        <w:gridCol w:w="3408"/>
        <w:gridCol w:w="3408"/>
        <w:gridCol w:w="3408"/>
      </w:tblGrid>
      <w:tr>
        <w:tc>
          <w:tcPr>
            <w:tcW w:type="dxa" w:w="3408"/>
            <w:shd w:fill="EAF2F8"/>
            <w:tcMar>
              <w:top w:w="75" w:type="dxa"/>
              <w:start w:w="75" w:type="dxa"/>
              <w:bottom w:w="75" w:type="dxa"/>
              <w:end w:w="75" w:type="dxa"/>
            </w:tcMar>
            <w:vAlign w:val="center"/>
          </w:tcPr>
          <w:p>
            <w:pPr>
              <w:spacing w:after="20"/>
            </w:pPr>
            <w:r>
              <w:t>Recall-plus-maintenance</w:t>
            </w:r>
          </w:p>
        </w:tc>
        <w:tc>
          <w:tcPr>
            <w:tcW w:type="dxa" w:w="3408"/>
            <w:shd w:fill="D9EAF7"/>
            <w:tcMar>
              <w:top w:w="75" w:type="dxa"/>
              <w:start w:w="75" w:type="dxa"/>
              <w:bottom w:w="75" w:type="dxa"/>
              <w:end w:w="75" w:type="dxa"/>
            </w:tcMar>
            <w:vAlign w:val="center"/>
          </w:tcPr>
          <w:p>
            <w:pPr>
              <w:spacing w:after="20"/>
            </w:pPr>
            <w:r>
              <w:t>Video-inspection receptive</w:t>
            </w:r>
          </w:p>
        </w:tc>
        <w:tc>
          <w:tcPr>
            <w:tcW w:type="dxa" w:w="3408"/>
            <w:shd w:fill="EAF2F8"/>
            <w:tcMar>
              <w:top w:w="75" w:type="dxa"/>
              <w:start w:w="75" w:type="dxa"/>
              <w:bottom w:w="75" w:type="dxa"/>
              <w:end w:w="75" w:type="dxa"/>
            </w:tcMar>
            <w:vAlign w:val="center"/>
          </w:tcPr>
          <w:p>
            <w:pPr>
              <w:spacing w:after="20"/>
            </w:pPr>
            <w:r>
              <w:t>Mobile-service candidate</w:t>
            </w:r>
          </w:p>
        </w:tc>
      </w:tr>
      <w:tr>
        <w:tc>
          <w:tcPr>
            <w:tcW w:type="dxa" w:w="3408"/>
            <w:shd w:fill="D9EAF7"/>
            <w:tcMar>
              <w:top w:w="75" w:type="dxa"/>
              <w:start w:w="75" w:type="dxa"/>
              <w:bottom w:w="75" w:type="dxa"/>
              <w:end w:w="75" w:type="dxa"/>
            </w:tcMar>
            <w:vAlign w:val="center"/>
          </w:tcPr>
          <w:p>
            <w:pPr>
              <w:spacing w:after="20"/>
            </w:pPr>
            <w:r>
              <w:t>Tire retention opportunity</w:t>
            </w:r>
          </w:p>
        </w:tc>
        <w:tc>
          <w:tcPr>
            <w:tcW w:type="dxa" w:w="3408"/>
            <w:shd w:fill="EAF2F8"/>
            <w:tcMar>
              <w:top w:w="75" w:type="dxa"/>
              <w:start w:w="75" w:type="dxa"/>
              <w:bottom w:w="75" w:type="dxa"/>
              <w:end w:w="75" w:type="dxa"/>
            </w:tcMar>
            <w:vAlign w:val="center"/>
          </w:tcPr>
          <w:p>
            <w:pPr>
              <w:spacing w:after="20"/>
            </w:pPr>
            <w:r>
              <w:t>EV dealer-service opportunity</w:t>
            </w:r>
          </w:p>
        </w:tc>
        <w:tc>
          <w:tcPr>
            <w:tcW w:type="dxa" w:w="3408"/>
            <w:shd w:fill="D9EAF7"/>
            <w:tcMar>
              <w:top w:w="75" w:type="dxa"/>
              <w:start w:w="75" w:type="dxa"/>
              <w:bottom w:w="75" w:type="dxa"/>
              <w:end w:w="75" w:type="dxa"/>
            </w:tcMar>
            <w:vAlign w:val="center"/>
          </w:tcPr>
          <w:p>
            <w:pPr>
              <w:spacing w:after="20"/>
            </w:pPr>
            <w:r>
              <w:t>Service-to-sales eligible after resolution</w:t>
            </w:r>
          </w:p>
        </w:tc>
      </w:tr>
    </w:tbl>
    <w:p>
      <w:r>
        <w:br w:type="page"/>
      </w:r>
    </w:p>
    <w:p>
      <w:pPr>
        <w:pStyle w:val="Title"/>
      </w:pPr>
      <w:r>
        <w:t>Service-Retention Journey Playbooks</w:t>
      </w:r>
    </w:p>
    <w:p>
      <w:pPr>
        <w:pStyle w:val="Heading2"/>
      </w:pPr>
      <w:r>
        <w:t>1. First-service conversion</w:t>
      </w:r>
    </w:p>
    <w:p>
      <w:r>
        <w:t>Vehicle delivered → service preference capture → first appointment offer → reminder → completed first service → next-maintenance schedule.</w:t>
      </w:r>
    </w:p>
    <w:p>
      <w:pPr>
        <w:pStyle w:val="Heading2"/>
      </w:pPr>
      <w:r>
        <w:t>2. Missed-maintenance recovery</w:t>
      </w:r>
    </w:p>
    <w:p>
      <w:r>
        <w:t>Expected service date → grace period → current-ownership verification → barrier diagnosis → scheduling/estimate support → repair order.</w:t>
      </w:r>
    </w:p>
    <w:p>
      <w:pPr>
        <w:pStyle w:val="Heading2"/>
      </w:pPr>
      <w:r>
        <w:t>3. Appointment-delay retention</w:t>
      </w:r>
    </w:p>
    <w:p>
      <w:r>
        <w:t>Long lead time detected → proactive explanation → alternative date/location/mobile option → status updates → follow-up satisfaction.</w:t>
      </w:r>
    </w:p>
    <w:p>
      <w:pPr>
        <w:pStyle w:val="Heading2"/>
      </w:pPr>
      <w:r>
        <w:t>4. Declined-work recovery</w:t>
      </w:r>
    </w:p>
    <w:p>
      <w:r>
        <w:t>Recommendation declined → evidence and explanation → urgency-based wait → preferred-channel follow-up → appointment or suppression.</w:t>
      </w:r>
    </w:p>
    <w:p>
      <w:pPr>
        <w:pStyle w:val="Heading2"/>
      </w:pPr>
      <w:r>
        <w:t>5. First-time-fix recovery</w:t>
      </w:r>
    </w:p>
    <w:p>
      <w:r>
        <w:t>Repair reopened → immediate escalation → parts/technician plan → proactive updates → corrected repair → trust-restoration follow-up.</w:t>
      </w:r>
    </w:p>
    <w:p>
      <w:pPr>
        <w:pStyle w:val="Heading2"/>
      </w:pPr>
      <w:r>
        <w:t>6. Warranty-transition retention</w:t>
      </w:r>
    </w:p>
    <w:p>
      <w:r>
        <w:t>Warranty approaching end → maintenance history review → transparent post-warranty plan → health check → continued dealer service.</w:t>
      </w:r>
    </w:p>
    <w:p>
      <w:pPr>
        <w:pStyle w:val="Heading2"/>
      </w:pPr>
      <w:r>
        <w:t>7. EV service retention</w:t>
      </w:r>
    </w:p>
    <w:p>
      <w:r>
        <w:t>Delivery education → charging/feature support → trained service routing → early issue recovery → next service → ownership retention.</w:t>
      </w:r>
    </w:p>
    <w:p>
      <w:pPr>
        <w:pStyle w:val="Heading2"/>
      </w:pPr>
      <w:r>
        <w:t>8. Dormant-customer win-back</w:t>
      </w:r>
    </w:p>
    <w:p>
      <w:r>
        <w:t>Service lapse → ownership verification → likely root cause → low-pressure value/convenience treatment → booking → re-engaged status.</w:t>
      </w:r>
    </w:p>
    <w:p>
      <w:r>
        <w:br w:type="page"/>
      </w:r>
    </w:p>
    <w:p>
      <w:pPr>
        <w:pStyle w:val="Title"/>
      </w:pPr>
      <w:r>
        <w:t>Required Data and Canonical Events</w:t>
      </w:r>
    </w:p>
    <w:p>
      <w:pPr>
        <w:pStyle w:val="Heading2"/>
      </w:pPr>
      <w:r>
        <w:t>Customer and consent</w:t>
      </w:r>
    </w:p>
    <w:p>
      <w:r>
        <w:t>Unified customer ID, Household ID, Preferred channel, Preferred service location, Consent purpose, Contact cap, Suppression</w:t>
      </w:r>
    </w:p>
    <w:p>
      <w:pPr>
        <w:pStyle w:val="Heading2"/>
      </w:pPr>
      <w:r>
        <w:t>Vehicle relationship</w:t>
      </w:r>
    </w:p>
    <w:p>
      <w:r>
        <w:t>VIN, Ownership status, Delivery date, Mileage, Vehicle age, Warranty, Powertrain, Expected maintenance</w:t>
      </w:r>
    </w:p>
    <w:p>
      <w:pPr>
        <w:pStyle w:val="Heading2"/>
      </w:pPr>
      <w:r>
        <w:t>Repair order</w:t>
      </w:r>
    </w:p>
    <w:p>
      <w:r>
        <w:t>RO date, Service category, Labor/parts, Spend, Declined work, Recommended work, Recall, Provider, Advisor</w:t>
      </w:r>
    </w:p>
    <w:p>
      <w:pPr>
        <w:pStyle w:val="Heading2"/>
      </w:pPr>
      <w:r>
        <w:t>Experience and operations</w:t>
      </w:r>
    </w:p>
    <w:p>
      <w:r>
        <w:t>Appointment requested, Earliest slot, Wait time, Completion time, Status channel, Parts delay, Fixed right first time, Satisfaction</w:t>
      </w:r>
    </w:p>
    <w:p>
      <w:pPr>
        <w:pStyle w:val="Heading2"/>
      </w:pPr>
      <w:r>
        <w:t>Canonical events</w:t>
      </w:r>
    </w:p>
    <w:p>
      <w:r>
        <w:t>vehicle_delivered, first_service_due, service_booked, service_overdue, service_declined, appointment_delayed, parts_delayed, repair_reopened, repair_order_completed, complaint_created, complaint_resolved, ownership_changed</w:t>
      </w:r>
    </w:p>
    <w:p>
      <w:r>
        <w:br w:type="page"/>
      </w:r>
    </w:p>
    <w:p>
      <w:pPr>
        <w:pStyle w:val="Title"/>
      </w:pPr>
      <w:r>
        <w:t>Service-Retention Decisioning Flow</w:t>
      </w:r>
    </w:p>
    <w:tbl>
      <w:tblPr>
        <w:tblW w:type="auto" w:w="0"/>
        <w:jc w:val="center"/>
        <w:tblLook w:firstColumn="1" w:firstRow="1" w:lastColumn="0" w:lastRow="0" w:noHBand="0" w:noVBand="1" w:val="04A0"/>
      </w:tblPr>
      <w:tblGrid>
        <w:gridCol w:w="5112"/>
        <w:gridCol w:w="5112"/>
      </w:tblGrid>
      <w:tr>
        <w:tc>
          <w:tcPr>
            <w:tcW w:type="dxa" w:w="5112"/>
            <w:shd w:fill="2F75B5"/>
            <w:tcMar>
              <w:top w:w="85" w:type="dxa"/>
              <w:start w:w="85" w:type="dxa"/>
              <w:bottom w:w="85" w:type="dxa"/>
              <w:end w:w="85" w:type="dxa"/>
            </w:tcMar>
            <w:vAlign w:val="center"/>
          </w:tcPr>
          <w:p>
            <w:pPr>
              <w:spacing w:after="20"/>
            </w:pPr>
            <w:r>
              <w:rPr>
                <w:b/>
                <w:color w:val="FFFFFF"/>
              </w:rPr>
              <w:t>1. Verify customer and vehicle</w:t>
            </w:r>
          </w:p>
        </w:tc>
        <w:tc>
          <w:tcPr>
            <w:tcW w:type="dxa" w:w="5112"/>
            <w:tcMar>
              <w:top w:w="85" w:type="dxa"/>
              <w:start w:w="85" w:type="dxa"/>
              <w:bottom w:w="85" w:type="dxa"/>
              <w:end w:w="85" w:type="dxa"/>
            </w:tcMar>
            <w:vAlign w:val="center"/>
          </w:tcPr>
          <w:p>
            <w:pPr>
              <w:spacing w:after="20"/>
            </w:pPr>
            <w:r>
              <w:t>Confirm identity, current ownership, consent and preferred service relationship.</w:t>
            </w:r>
          </w:p>
        </w:tc>
      </w:tr>
    </w:tbl>
    <w:p>
      <w:pPr>
        <w:spacing w:after="0"/>
        <w:jc w:val="center"/>
      </w:pPr>
      <w:r>
        <w:rPr>
          <w:b/>
          <w:color w:val="2F75B5"/>
        </w:rPr>
        <w:t>↓</w:t>
      </w:r>
    </w:p>
    <w:tbl>
      <w:tblPr>
        <w:tblW w:type="auto" w:w="0"/>
        <w:jc w:val="center"/>
        <w:tblLook w:firstColumn="1" w:firstRow="1" w:lastColumn="0" w:lastRow="0" w:noHBand="0" w:noVBand="1" w:val="04A0"/>
      </w:tblPr>
      <w:tblGrid>
        <w:gridCol w:w="5112"/>
        <w:gridCol w:w="5112"/>
      </w:tblGrid>
      <w:tr>
        <w:tc>
          <w:tcPr>
            <w:tcW w:type="dxa" w:w="5112"/>
            <w:shd w:fill="2F75B5"/>
            <w:tcMar>
              <w:top w:w="85" w:type="dxa"/>
              <w:start w:w="85" w:type="dxa"/>
              <w:bottom w:w="85" w:type="dxa"/>
              <w:end w:w="85" w:type="dxa"/>
            </w:tcMar>
            <w:vAlign w:val="center"/>
          </w:tcPr>
          <w:p>
            <w:pPr>
              <w:spacing w:after="20"/>
            </w:pPr>
            <w:r>
              <w:rPr>
                <w:b/>
                <w:color w:val="FFFFFF"/>
              </w:rPr>
              <w:t>2. Detect service event</w:t>
            </w:r>
          </w:p>
        </w:tc>
        <w:tc>
          <w:tcPr>
            <w:tcW w:type="dxa" w:w="5112"/>
            <w:tcMar>
              <w:top w:w="85" w:type="dxa"/>
              <w:start w:w="85" w:type="dxa"/>
              <w:bottom w:w="85" w:type="dxa"/>
              <w:end w:w="85" w:type="dxa"/>
            </w:tcMar>
            <w:vAlign w:val="center"/>
          </w:tcPr>
          <w:p>
            <w:pPr>
              <w:spacing w:after="20"/>
            </w:pPr>
            <w:r>
              <w:t>First service, expected maintenance, declined work, delay, reopened repair or dormant status.</w:t>
            </w:r>
          </w:p>
        </w:tc>
      </w:tr>
    </w:tbl>
    <w:p>
      <w:pPr>
        <w:spacing w:after="0"/>
        <w:jc w:val="center"/>
      </w:pPr>
      <w:r>
        <w:rPr>
          <w:b/>
          <w:color w:val="2F75B5"/>
        </w:rPr>
        <w:t>↓</w:t>
      </w:r>
    </w:p>
    <w:tbl>
      <w:tblPr>
        <w:tblW w:type="auto" w:w="0"/>
        <w:jc w:val="center"/>
        <w:tblLook w:firstColumn="1" w:firstRow="1" w:lastColumn="0" w:lastRow="0" w:noHBand="0" w:noVBand="1" w:val="04A0"/>
      </w:tblPr>
      <w:tblGrid>
        <w:gridCol w:w="5112"/>
        <w:gridCol w:w="5112"/>
      </w:tblGrid>
      <w:tr>
        <w:tc>
          <w:tcPr>
            <w:tcW w:type="dxa" w:w="5112"/>
            <w:shd w:fill="2F75B5"/>
            <w:tcMar>
              <w:top w:w="85" w:type="dxa"/>
              <w:start w:w="85" w:type="dxa"/>
              <w:bottom w:w="85" w:type="dxa"/>
              <w:end w:w="85" w:type="dxa"/>
            </w:tcMar>
            <w:vAlign w:val="center"/>
          </w:tcPr>
          <w:p>
            <w:pPr>
              <w:spacing w:after="20"/>
            </w:pPr>
            <w:r>
              <w:rPr>
                <w:b/>
                <w:color w:val="FFFFFF"/>
              </w:rPr>
              <w:t>3. Apply safety and suppression</w:t>
            </w:r>
          </w:p>
        </w:tc>
        <w:tc>
          <w:tcPr>
            <w:tcW w:type="dxa" w:w="5112"/>
            <w:tcMar>
              <w:top w:w="85" w:type="dxa"/>
              <w:start w:w="85" w:type="dxa"/>
              <w:bottom w:w="85" w:type="dxa"/>
              <w:end w:w="85" w:type="dxa"/>
            </w:tcMar>
            <w:vAlign w:val="center"/>
          </w:tcPr>
          <w:p>
            <w:pPr>
              <w:spacing w:after="20"/>
            </w:pPr>
            <w:r>
              <w:t>Open complaint, ownership change, recent contact, completed service or opt-out.</w:t>
            </w:r>
          </w:p>
        </w:tc>
      </w:tr>
    </w:tbl>
    <w:p>
      <w:pPr>
        <w:spacing w:after="0"/>
        <w:jc w:val="center"/>
      </w:pPr>
      <w:r>
        <w:rPr>
          <w:b/>
          <w:color w:val="2F75B5"/>
        </w:rPr>
        <w:t>↓</w:t>
      </w:r>
    </w:p>
    <w:tbl>
      <w:tblPr>
        <w:tblW w:type="auto" w:w="0"/>
        <w:jc w:val="center"/>
        <w:tblLook w:firstColumn="1" w:firstRow="1" w:lastColumn="0" w:lastRow="0" w:noHBand="0" w:noVBand="1" w:val="04A0"/>
      </w:tblPr>
      <w:tblGrid>
        <w:gridCol w:w="5112"/>
        <w:gridCol w:w="5112"/>
      </w:tblGrid>
      <w:tr>
        <w:tc>
          <w:tcPr>
            <w:tcW w:type="dxa" w:w="5112"/>
            <w:shd w:fill="2F75B5"/>
            <w:tcMar>
              <w:top w:w="85" w:type="dxa"/>
              <w:start w:w="85" w:type="dxa"/>
              <w:bottom w:w="85" w:type="dxa"/>
              <w:end w:w="85" w:type="dxa"/>
            </w:tcMar>
            <w:vAlign w:val="center"/>
          </w:tcPr>
          <w:p>
            <w:pPr>
              <w:spacing w:after="20"/>
            </w:pPr>
            <w:r>
              <w:rPr>
                <w:b/>
                <w:color w:val="FFFFFF"/>
              </w:rPr>
              <w:t>4. Estimate retention risk</w:t>
            </w:r>
          </w:p>
        </w:tc>
        <w:tc>
          <w:tcPr>
            <w:tcW w:type="dxa" w:w="5112"/>
            <w:tcMar>
              <w:top w:w="85" w:type="dxa"/>
              <w:start w:w="85" w:type="dxa"/>
              <w:bottom w:w="85" w:type="dxa"/>
              <w:end w:w="85" w:type="dxa"/>
            </w:tcMar>
            <w:vAlign w:val="center"/>
          </w:tcPr>
          <w:p>
            <w:pPr>
              <w:spacing w:after="20"/>
            </w:pPr>
            <w:r>
              <w:t>Probability of missing the next dealer visit or migrating providers.</w:t>
            </w:r>
          </w:p>
        </w:tc>
      </w:tr>
    </w:tbl>
    <w:p>
      <w:pPr>
        <w:spacing w:after="0"/>
        <w:jc w:val="center"/>
      </w:pPr>
      <w:r>
        <w:rPr>
          <w:b/>
          <w:color w:val="2F75B5"/>
        </w:rPr>
        <w:t>↓</w:t>
      </w:r>
    </w:p>
    <w:tbl>
      <w:tblPr>
        <w:tblW w:type="auto" w:w="0"/>
        <w:jc w:val="center"/>
        <w:tblLook w:firstColumn="1" w:firstRow="1" w:lastColumn="0" w:lastRow="0" w:noHBand="0" w:noVBand="1" w:val="04A0"/>
      </w:tblPr>
      <w:tblGrid>
        <w:gridCol w:w="5112"/>
        <w:gridCol w:w="5112"/>
      </w:tblGrid>
      <w:tr>
        <w:tc>
          <w:tcPr>
            <w:tcW w:type="dxa" w:w="5112"/>
            <w:shd w:fill="2F75B5"/>
            <w:tcMar>
              <w:top w:w="85" w:type="dxa"/>
              <w:start w:w="85" w:type="dxa"/>
              <w:bottom w:w="85" w:type="dxa"/>
              <w:end w:w="85" w:type="dxa"/>
            </w:tcMar>
            <w:vAlign w:val="center"/>
          </w:tcPr>
          <w:p>
            <w:pPr>
              <w:spacing w:after="20"/>
            </w:pPr>
            <w:r>
              <w:rPr>
                <w:b/>
                <w:color w:val="FFFFFF"/>
              </w:rPr>
              <w:t>5. Diagnose reason</w:t>
            </w:r>
          </w:p>
        </w:tc>
        <w:tc>
          <w:tcPr>
            <w:tcW w:type="dxa" w:w="5112"/>
            <w:tcMar>
              <w:top w:w="85" w:type="dxa"/>
              <w:start w:w="85" w:type="dxa"/>
              <w:bottom w:w="85" w:type="dxa"/>
              <w:end w:w="85" w:type="dxa"/>
            </w:tcMar>
            <w:vAlign w:val="center"/>
          </w:tcPr>
          <w:p>
            <w:pPr>
              <w:spacing w:after="20"/>
            </w:pPr>
            <w:r>
              <w:t>Price, fairness, convenience, communication, quality, parts, EV capability or education.</w:t>
            </w:r>
          </w:p>
        </w:tc>
      </w:tr>
    </w:tbl>
    <w:p>
      <w:pPr>
        <w:spacing w:after="0"/>
        <w:jc w:val="center"/>
      </w:pPr>
      <w:r>
        <w:rPr>
          <w:b/>
          <w:color w:val="2F75B5"/>
        </w:rPr>
        <w:t>↓</w:t>
      </w:r>
    </w:p>
    <w:tbl>
      <w:tblPr>
        <w:tblW w:type="auto" w:w="0"/>
        <w:jc w:val="center"/>
        <w:tblLook w:firstColumn="1" w:firstRow="1" w:lastColumn="0" w:lastRow="0" w:noHBand="0" w:noVBand="1" w:val="04A0"/>
      </w:tblPr>
      <w:tblGrid>
        <w:gridCol w:w="5112"/>
        <w:gridCol w:w="5112"/>
      </w:tblGrid>
      <w:tr>
        <w:tc>
          <w:tcPr>
            <w:tcW w:type="dxa" w:w="5112"/>
            <w:shd w:fill="2F75B5"/>
            <w:tcMar>
              <w:top w:w="85" w:type="dxa"/>
              <w:start w:w="85" w:type="dxa"/>
              <w:bottom w:w="85" w:type="dxa"/>
              <w:end w:w="85" w:type="dxa"/>
            </w:tcMar>
            <w:vAlign w:val="center"/>
          </w:tcPr>
          <w:p>
            <w:pPr>
              <w:spacing w:after="20"/>
            </w:pPr>
            <w:r>
              <w:rPr>
                <w:b/>
                <w:color w:val="FFFFFF"/>
              </w:rPr>
              <w:t>6. Check operational feasibility</w:t>
            </w:r>
          </w:p>
        </w:tc>
        <w:tc>
          <w:tcPr>
            <w:tcW w:type="dxa" w:w="5112"/>
            <w:tcMar>
              <w:top w:w="85" w:type="dxa"/>
              <w:start w:w="85" w:type="dxa"/>
              <w:bottom w:w="85" w:type="dxa"/>
              <w:end w:w="85" w:type="dxa"/>
            </w:tcMar>
            <w:vAlign w:val="center"/>
          </w:tcPr>
          <w:p>
            <w:pPr>
              <w:spacing w:after="20"/>
            </w:pPr>
            <w:r>
              <w:t>Available appointment, location, mobile service, parts, technician and advisor capacity.</w:t>
            </w:r>
          </w:p>
        </w:tc>
      </w:tr>
    </w:tbl>
    <w:p>
      <w:pPr>
        <w:spacing w:after="0"/>
        <w:jc w:val="center"/>
      </w:pPr>
      <w:r>
        <w:rPr>
          <w:b/>
          <w:color w:val="2F75B5"/>
        </w:rPr>
        <w:t>↓</w:t>
      </w:r>
    </w:p>
    <w:tbl>
      <w:tblPr>
        <w:tblW w:type="auto" w:w="0"/>
        <w:jc w:val="center"/>
        <w:tblLook w:firstColumn="1" w:firstRow="1" w:lastColumn="0" w:lastRow="0" w:noHBand="0" w:noVBand="1" w:val="04A0"/>
      </w:tblPr>
      <w:tblGrid>
        <w:gridCol w:w="5112"/>
        <w:gridCol w:w="5112"/>
      </w:tblGrid>
      <w:tr>
        <w:tc>
          <w:tcPr>
            <w:tcW w:type="dxa" w:w="5112"/>
            <w:shd w:fill="2F75B5"/>
            <w:tcMar>
              <w:top w:w="85" w:type="dxa"/>
              <w:start w:w="85" w:type="dxa"/>
              <w:bottom w:w="85" w:type="dxa"/>
              <w:end w:w="85" w:type="dxa"/>
            </w:tcMar>
            <w:vAlign w:val="center"/>
          </w:tcPr>
          <w:p>
            <w:pPr>
              <w:spacing w:after="20"/>
            </w:pPr>
            <w:r>
              <w:rPr>
                <w:b/>
                <w:color w:val="FFFFFF"/>
              </w:rPr>
              <w:t>7. Select next-best treatment</w:t>
            </w:r>
          </w:p>
        </w:tc>
        <w:tc>
          <w:tcPr>
            <w:tcW w:type="dxa" w:w="5112"/>
            <w:tcMar>
              <w:top w:w="85" w:type="dxa"/>
              <w:start w:w="85" w:type="dxa"/>
              <w:bottom w:w="85" w:type="dxa"/>
              <w:end w:w="85" w:type="dxa"/>
            </w:tcMar>
            <w:vAlign w:val="center"/>
          </w:tcPr>
          <w:p>
            <w:pPr>
              <w:spacing w:after="20"/>
            </w:pPr>
            <w:r>
              <w:t>Reminder, explanation, scheduling, video evidence, status update, escalation, or no contact.</w:t>
            </w:r>
          </w:p>
        </w:tc>
      </w:tr>
    </w:tbl>
    <w:p>
      <w:pPr>
        <w:spacing w:after="0"/>
        <w:jc w:val="center"/>
      </w:pPr>
      <w:r>
        <w:rPr>
          <w:b/>
          <w:color w:val="2F75B5"/>
        </w:rPr>
        <w:t>↓</w:t>
      </w:r>
    </w:p>
    <w:tbl>
      <w:tblPr>
        <w:tblW w:type="auto" w:w="0"/>
        <w:jc w:val="center"/>
        <w:tblLook w:firstColumn="1" w:firstRow="1" w:lastColumn="0" w:lastRow="0" w:noHBand="0" w:noVBand="1" w:val="04A0"/>
      </w:tblPr>
      <w:tblGrid>
        <w:gridCol w:w="5112"/>
        <w:gridCol w:w="5112"/>
      </w:tblGrid>
      <w:tr>
        <w:tc>
          <w:tcPr>
            <w:tcW w:type="dxa" w:w="5112"/>
            <w:shd w:fill="2F75B5"/>
            <w:tcMar>
              <w:top w:w="85" w:type="dxa"/>
              <w:start w:w="85" w:type="dxa"/>
              <w:bottom w:w="85" w:type="dxa"/>
              <w:end w:w="85" w:type="dxa"/>
            </w:tcMar>
            <w:vAlign w:val="center"/>
          </w:tcPr>
          <w:p>
            <w:pPr>
              <w:spacing w:after="20"/>
            </w:pPr>
            <w:r>
              <w:rPr>
                <w:b/>
                <w:color w:val="FFFFFF"/>
              </w:rPr>
              <w:t>8. Activate journey</w:t>
            </w:r>
          </w:p>
        </w:tc>
        <w:tc>
          <w:tcPr>
            <w:tcW w:type="dxa" w:w="5112"/>
            <w:tcMar>
              <w:top w:w="85" w:type="dxa"/>
              <w:start w:w="85" w:type="dxa"/>
              <w:bottom w:w="85" w:type="dxa"/>
              <w:end w:w="85" w:type="dxa"/>
            </w:tcMar>
            <w:vAlign w:val="center"/>
          </w:tcPr>
          <w:p>
            <w:pPr>
              <w:spacing w:after="20"/>
            </w:pPr>
            <w:r>
              <w:t>CRM task, service scheduler, email, SMS, call center or dealer advisor.</w:t>
            </w:r>
          </w:p>
        </w:tc>
      </w:tr>
    </w:tbl>
    <w:p>
      <w:pPr>
        <w:spacing w:after="0"/>
        <w:jc w:val="center"/>
      </w:pPr>
      <w:r>
        <w:rPr>
          <w:b/>
          <w:color w:val="2F75B5"/>
        </w:rPr>
        <w:t>↓</w:t>
      </w:r>
    </w:p>
    <w:tbl>
      <w:tblPr>
        <w:tblW w:type="auto" w:w="0"/>
        <w:jc w:val="center"/>
        <w:tblLook w:firstColumn="1" w:firstRow="1" w:lastColumn="0" w:lastRow="0" w:noHBand="0" w:noVBand="1" w:val="04A0"/>
      </w:tblPr>
      <w:tblGrid>
        <w:gridCol w:w="5112"/>
        <w:gridCol w:w="5112"/>
      </w:tblGrid>
      <w:tr>
        <w:tc>
          <w:tcPr>
            <w:tcW w:type="dxa" w:w="5112"/>
            <w:shd w:fill="2F75B5"/>
            <w:tcMar>
              <w:top w:w="85" w:type="dxa"/>
              <w:start w:w="85" w:type="dxa"/>
              <w:bottom w:w="85" w:type="dxa"/>
              <w:end w:w="85" w:type="dxa"/>
            </w:tcMar>
            <w:vAlign w:val="center"/>
          </w:tcPr>
          <w:p>
            <w:pPr>
              <w:spacing w:after="20"/>
            </w:pPr>
            <w:r>
              <w:rPr>
                <w:b/>
                <w:color w:val="FFFFFF"/>
              </w:rPr>
              <w:t>9. Exit immediately on outcome</w:t>
            </w:r>
          </w:p>
        </w:tc>
        <w:tc>
          <w:tcPr>
            <w:tcW w:type="dxa" w:w="5112"/>
            <w:tcMar>
              <w:top w:w="85" w:type="dxa"/>
              <w:start w:w="85" w:type="dxa"/>
              <w:bottom w:w="85" w:type="dxa"/>
              <w:end w:w="85" w:type="dxa"/>
            </w:tcMar>
            <w:vAlign w:val="center"/>
          </w:tcPr>
          <w:p>
            <w:pPr>
              <w:spacing w:after="20"/>
            </w:pPr>
            <w:r>
              <w:t>Booked/completed service, resolved issue, opt-out, vehicle sold or confirmed defection.</w:t>
            </w:r>
          </w:p>
        </w:tc>
      </w:tr>
    </w:tbl>
    <w:p>
      <w:pPr>
        <w:spacing w:after="0"/>
        <w:jc w:val="center"/>
      </w:pPr>
      <w:r>
        <w:rPr>
          <w:b/>
          <w:color w:val="2F75B5"/>
        </w:rPr>
        <w:t>↓</w:t>
      </w:r>
    </w:p>
    <w:tbl>
      <w:tblPr>
        <w:tblW w:type="auto" w:w="0"/>
        <w:jc w:val="center"/>
        <w:tblLook w:firstColumn="1" w:firstRow="1" w:lastColumn="0" w:lastRow="0" w:noHBand="0" w:noVBand="1" w:val="04A0"/>
      </w:tblPr>
      <w:tblGrid>
        <w:gridCol w:w="5112"/>
        <w:gridCol w:w="5112"/>
      </w:tblGrid>
      <w:tr>
        <w:tc>
          <w:tcPr>
            <w:tcW w:type="dxa" w:w="5112"/>
            <w:shd w:fill="2F75B5"/>
            <w:tcMar>
              <w:top w:w="85" w:type="dxa"/>
              <w:start w:w="85" w:type="dxa"/>
              <w:bottom w:w="85" w:type="dxa"/>
              <w:end w:w="85" w:type="dxa"/>
            </w:tcMar>
            <w:vAlign w:val="center"/>
          </w:tcPr>
          <w:p>
            <w:pPr>
              <w:spacing w:after="20"/>
            </w:pPr>
            <w:r>
              <w:rPr>
                <w:b/>
                <w:color w:val="FFFFFF"/>
              </w:rPr>
              <w:t>10. Measure incremental retention</w:t>
            </w:r>
          </w:p>
        </w:tc>
        <w:tc>
          <w:tcPr>
            <w:tcW w:type="dxa" w:w="5112"/>
            <w:tcMar>
              <w:top w:w="85" w:type="dxa"/>
              <w:start w:w="85" w:type="dxa"/>
              <w:bottom w:w="85" w:type="dxa"/>
              <w:end w:w="85" w:type="dxa"/>
            </w:tcMar>
            <w:vAlign w:val="center"/>
          </w:tcPr>
          <w:p>
            <w:pPr>
              <w:spacing w:after="20"/>
            </w:pPr>
            <w:r>
              <w:t>Compare against controls and track repair orders, margin, satisfaction, complaints and next-service return.</w:t>
            </w:r>
          </w:p>
        </w:tc>
      </w:tr>
    </w:tbl>
    <w:p>
      <w:r>
        <w:br w:type="page"/>
      </w:r>
    </w:p>
    <w:p>
      <w:pPr>
        <w:pStyle w:val="Title"/>
      </w:pPr>
      <w:r>
        <w:t>Metrics and Implementation Roadmap</w:t>
      </w:r>
    </w:p>
    <w:tbl>
      <w:tblPr>
        <w:tblW w:type="auto" w:w="0"/>
        <w:jc w:val="center"/>
        <w:tblLook w:firstColumn="1" w:firstRow="1" w:lastColumn="0" w:lastRow="0" w:noHBand="0" w:noVBand="1" w:val="04A0"/>
      </w:tblPr>
      <w:tblGrid>
        <w:gridCol w:w="5112"/>
        <w:gridCol w:w="5112"/>
      </w:tblGrid>
      <w:tr>
        <w:tc>
          <w:tcPr>
            <w:tcW w:type="dxa" w:w="5112"/>
            <w:shd w:fill="17365D"/>
            <w:tcMar>
              <w:top w:w="90" w:type="dxa"/>
              <w:start w:w="90" w:type="dxa"/>
              <w:bottom w:w="90" w:type="dxa"/>
              <w:end w:w="90" w:type="dxa"/>
            </w:tcMar>
            <w:vAlign w:val="center"/>
          </w:tcPr>
          <w:p>
            <w:pPr>
              <w:spacing w:after="20"/>
            </w:pPr>
            <w:r>
              <w:rPr>
                <w:b/>
                <w:color w:val="FFFFFF"/>
              </w:rPr>
              <w:t>Metric</w:t>
            </w:r>
          </w:p>
        </w:tc>
        <w:tc>
          <w:tcPr>
            <w:tcW w:type="dxa" w:w="5112"/>
            <w:shd w:fill="17365D"/>
            <w:tcMar>
              <w:top w:w="90" w:type="dxa"/>
              <w:start w:w="90" w:type="dxa"/>
              <w:bottom w:w="90" w:type="dxa"/>
              <w:end w:w="90" w:type="dxa"/>
            </w:tcMar>
            <w:vAlign w:val="center"/>
          </w:tcPr>
          <w:p>
            <w:pPr>
              <w:spacing w:after="20"/>
            </w:pPr>
            <w:r>
              <w:rPr>
                <w:b/>
                <w:color w:val="FFFFFF"/>
              </w:rPr>
              <w:t>Definition</w:t>
            </w:r>
          </w:p>
        </w:tc>
      </w:tr>
      <w:tr>
        <w:tc>
          <w:tcPr>
            <w:tcW w:type="dxa" w:w="5112"/>
            <w:shd w:fill="D9EAF7"/>
            <w:tcMar>
              <w:top w:w="75" w:type="dxa"/>
              <w:start w:w="75" w:type="dxa"/>
              <w:bottom w:w="75" w:type="dxa"/>
              <w:end w:w="75" w:type="dxa"/>
            </w:tcMar>
            <w:vAlign w:val="center"/>
          </w:tcPr>
          <w:p>
            <w:pPr>
              <w:spacing w:after="20"/>
            </w:pPr>
            <w:r>
              <w:rPr>
                <w:b/>
              </w:rPr>
              <w:t>First-service conversion</w:t>
            </w:r>
          </w:p>
        </w:tc>
        <w:tc>
          <w:tcPr>
            <w:tcW w:type="dxa" w:w="5112"/>
            <w:tcMar>
              <w:top w:w="75" w:type="dxa"/>
              <w:start w:w="75" w:type="dxa"/>
              <w:bottom w:w="75" w:type="dxa"/>
              <w:end w:w="75" w:type="dxa"/>
            </w:tcMar>
            <w:vAlign w:val="center"/>
          </w:tcPr>
          <w:p>
            <w:pPr>
              <w:spacing w:after="20"/>
            </w:pPr>
            <w:r>
              <w:t>Delivered vehicles completing first dealer service within the expected interval.</w:t>
            </w:r>
          </w:p>
        </w:tc>
      </w:tr>
      <w:tr>
        <w:tc>
          <w:tcPr>
            <w:tcW w:type="dxa" w:w="5112"/>
            <w:shd w:fill="D9EAF7"/>
            <w:tcMar>
              <w:top w:w="75" w:type="dxa"/>
              <w:start w:w="75" w:type="dxa"/>
              <w:bottom w:w="75" w:type="dxa"/>
              <w:end w:w="75" w:type="dxa"/>
            </w:tcMar>
            <w:vAlign w:val="center"/>
          </w:tcPr>
          <w:p>
            <w:pPr>
              <w:spacing w:after="20"/>
            </w:pPr>
            <w:r>
              <w:rPr>
                <w:b/>
              </w:rPr>
              <w:t>Next-service retention</w:t>
            </w:r>
          </w:p>
        </w:tc>
        <w:tc>
          <w:tcPr>
            <w:tcW w:type="dxa" w:w="5112"/>
            <w:tcMar>
              <w:top w:w="75" w:type="dxa"/>
              <w:start w:w="75" w:type="dxa"/>
              <w:bottom w:w="75" w:type="dxa"/>
              <w:end w:w="75" w:type="dxa"/>
            </w:tcMar>
            <w:vAlign w:val="center"/>
          </w:tcPr>
          <w:p>
            <w:pPr>
              <w:spacing w:after="20"/>
            </w:pPr>
            <w:r>
              <w:t>Customers returning to dealer service for the next expected maintenance event.</w:t>
            </w:r>
          </w:p>
        </w:tc>
      </w:tr>
      <w:tr>
        <w:tc>
          <w:tcPr>
            <w:tcW w:type="dxa" w:w="5112"/>
            <w:shd w:fill="D9EAF7"/>
            <w:tcMar>
              <w:top w:w="75" w:type="dxa"/>
              <w:start w:w="75" w:type="dxa"/>
              <w:bottom w:w="75" w:type="dxa"/>
              <w:end w:w="75" w:type="dxa"/>
            </w:tcMar>
            <w:vAlign w:val="center"/>
          </w:tcPr>
          <w:p>
            <w:pPr>
              <w:spacing w:after="20"/>
            </w:pPr>
            <w:r>
              <w:rPr>
                <w:b/>
              </w:rPr>
              <w:t>Dormancy rate</w:t>
            </w:r>
          </w:p>
        </w:tc>
        <w:tc>
          <w:tcPr>
            <w:tcW w:type="dxa" w:w="5112"/>
            <w:tcMar>
              <w:top w:w="75" w:type="dxa"/>
              <w:start w:w="75" w:type="dxa"/>
              <w:bottom w:w="75" w:type="dxa"/>
              <w:end w:w="75" w:type="dxa"/>
            </w:tcMar>
            <w:vAlign w:val="center"/>
          </w:tcPr>
          <w:p>
            <w:pPr>
              <w:spacing w:after="20"/>
            </w:pPr>
            <w:r>
              <w:t>Owners passing the approved service-lapse threshold without a dealer repair order.</w:t>
            </w:r>
          </w:p>
        </w:tc>
      </w:tr>
      <w:tr>
        <w:tc>
          <w:tcPr>
            <w:tcW w:type="dxa" w:w="5112"/>
            <w:shd w:fill="D9EAF7"/>
            <w:tcMar>
              <w:top w:w="75" w:type="dxa"/>
              <w:start w:w="75" w:type="dxa"/>
              <w:bottom w:w="75" w:type="dxa"/>
              <w:end w:w="75" w:type="dxa"/>
            </w:tcMar>
            <w:vAlign w:val="center"/>
          </w:tcPr>
          <w:p>
            <w:pPr>
              <w:spacing w:after="20"/>
            </w:pPr>
            <w:r>
              <w:rPr>
                <w:b/>
              </w:rPr>
              <w:t>Declined-work recovery</w:t>
            </w:r>
          </w:p>
        </w:tc>
        <w:tc>
          <w:tcPr>
            <w:tcW w:type="dxa" w:w="5112"/>
            <w:tcMar>
              <w:top w:w="75" w:type="dxa"/>
              <w:start w:w="75" w:type="dxa"/>
              <w:bottom w:w="75" w:type="dxa"/>
              <w:end w:w="75" w:type="dxa"/>
            </w:tcMar>
            <w:vAlign w:val="center"/>
          </w:tcPr>
          <w:p>
            <w:pPr>
              <w:spacing w:after="20"/>
            </w:pPr>
            <w:r>
              <w:t>Declined recommendations later completed at the dealership.</w:t>
            </w:r>
          </w:p>
        </w:tc>
      </w:tr>
      <w:tr>
        <w:tc>
          <w:tcPr>
            <w:tcW w:type="dxa" w:w="5112"/>
            <w:shd w:fill="D9EAF7"/>
            <w:tcMar>
              <w:top w:w="75" w:type="dxa"/>
              <w:start w:w="75" w:type="dxa"/>
              <w:bottom w:w="75" w:type="dxa"/>
              <w:end w:w="75" w:type="dxa"/>
            </w:tcMar>
            <w:vAlign w:val="center"/>
          </w:tcPr>
          <w:p>
            <w:pPr>
              <w:spacing w:after="20"/>
            </w:pPr>
            <w:r>
              <w:rPr>
                <w:b/>
              </w:rPr>
              <w:t>Reopened-repair recovery</w:t>
            </w:r>
          </w:p>
        </w:tc>
        <w:tc>
          <w:tcPr>
            <w:tcW w:type="dxa" w:w="5112"/>
            <w:tcMar>
              <w:top w:w="75" w:type="dxa"/>
              <w:start w:w="75" w:type="dxa"/>
              <w:bottom w:w="75" w:type="dxa"/>
              <w:end w:w="75" w:type="dxa"/>
            </w:tcMar>
            <w:vAlign w:val="center"/>
          </w:tcPr>
          <w:p>
            <w:pPr>
              <w:spacing w:after="20"/>
            </w:pPr>
            <w:r>
              <w:t>Customers retained after a repair was not fixed the first time.</w:t>
            </w:r>
          </w:p>
        </w:tc>
      </w:tr>
      <w:tr>
        <w:tc>
          <w:tcPr>
            <w:tcW w:type="dxa" w:w="5112"/>
            <w:shd w:fill="D9EAF7"/>
            <w:tcMar>
              <w:top w:w="75" w:type="dxa"/>
              <w:start w:w="75" w:type="dxa"/>
              <w:bottom w:w="75" w:type="dxa"/>
              <w:end w:w="75" w:type="dxa"/>
            </w:tcMar>
            <w:vAlign w:val="center"/>
          </w:tcPr>
          <w:p>
            <w:pPr>
              <w:spacing w:after="20"/>
            </w:pPr>
            <w:r>
              <w:rPr>
                <w:b/>
              </w:rPr>
              <w:t>Provider migration</w:t>
            </w:r>
          </w:p>
        </w:tc>
        <w:tc>
          <w:tcPr>
            <w:tcW w:type="dxa" w:w="5112"/>
            <w:tcMar>
              <w:top w:w="75" w:type="dxa"/>
              <w:start w:w="75" w:type="dxa"/>
              <w:bottom w:w="75" w:type="dxa"/>
              <w:end w:w="75" w:type="dxa"/>
            </w:tcMar>
            <w:vAlign w:val="center"/>
          </w:tcPr>
          <w:p>
            <w:pPr>
              <w:spacing w:after="20"/>
            </w:pPr>
            <w:r>
              <w:t>Verified movement to quick lube, tire chain, independent or another dealership where data is available.</w:t>
            </w:r>
          </w:p>
        </w:tc>
      </w:tr>
      <w:tr>
        <w:tc>
          <w:tcPr>
            <w:tcW w:type="dxa" w:w="5112"/>
            <w:shd w:fill="D9EAF7"/>
            <w:tcMar>
              <w:top w:w="75" w:type="dxa"/>
              <w:start w:w="75" w:type="dxa"/>
              <w:bottom w:w="75" w:type="dxa"/>
              <w:end w:w="75" w:type="dxa"/>
            </w:tcMar>
            <w:vAlign w:val="center"/>
          </w:tcPr>
          <w:p>
            <w:pPr>
              <w:spacing w:after="20"/>
            </w:pPr>
            <w:r>
              <w:rPr>
                <w:b/>
              </w:rPr>
              <w:t>Win-back</w:t>
            </w:r>
          </w:p>
        </w:tc>
        <w:tc>
          <w:tcPr>
            <w:tcW w:type="dxa" w:w="5112"/>
            <w:tcMar>
              <w:top w:w="75" w:type="dxa"/>
              <w:start w:w="75" w:type="dxa"/>
              <w:bottom w:w="75" w:type="dxa"/>
              <w:end w:w="75" w:type="dxa"/>
            </w:tcMar>
            <w:vAlign w:val="center"/>
          </w:tcPr>
          <w:p>
            <w:pPr>
              <w:spacing w:after="20"/>
            </w:pPr>
            <w:r>
              <w:t>Dormant or defected customers completing a dealership repair order after treatment.</w:t>
            </w:r>
          </w:p>
        </w:tc>
      </w:tr>
      <w:tr>
        <w:tc>
          <w:tcPr>
            <w:tcW w:type="dxa" w:w="5112"/>
            <w:shd w:fill="D9EAF7"/>
            <w:tcMar>
              <w:top w:w="75" w:type="dxa"/>
              <w:start w:w="75" w:type="dxa"/>
              <w:bottom w:w="75" w:type="dxa"/>
              <w:end w:w="75" w:type="dxa"/>
            </w:tcMar>
            <w:vAlign w:val="center"/>
          </w:tcPr>
          <w:p>
            <w:pPr>
              <w:spacing w:after="20"/>
            </w:pPr>
            <w:r>
              <w:rPr>
                <w:b/>
              </w:rPr>
              <w:t>Incremental retention</w:t>
            </w:r>
          </w:p>
        </w:tc>
        <w:tc>
          <w:tcPr>
            <w:tcW w:type="dxa" w:w="5112"/>
            <w:tcMar>
              <w:top w:w="75" w:type="dxa"/>
              <w:start w:w="75" w:type="dxa"/>
              <w:bottom w:w="75" w:type="dxa"/>
              <w:end w:w="75" w:type="dxa"/>
            </w:tcMar>
            <w:vAlign w:val="center"/>
          </w:tcPr>
          <w:p>
            <w:pPr>
              <w:spacing w:after="20"/>
            </w:pPr>
            <w:r>
              <w:t>Difference in service retention between treated and control groups.</w:t>
            </w:r>
          </w:p>
        </w:tc>
      </w:tr>
      <w:tr>
        <w:tc>
          <w:tcPr>
            <w:tcW w:type="dxa" w:w="5112"/>
            <w:shd w:fill="D9EAF7"/>
            <w:tcMar>
              <w:top w:w="75" w:type="dxa"/>
              <w:start w:w="75" w:type="dxa"/>
              <w:bottom w:w="75" w:type="dxa"/>
              <w:end w:w="75" w:type="dxa"/>
            </w:tcMar>
            <w:vAlign w:val="center"/>
          </w:tcPr>
          <w:p>
            <w:pPr>
              <w:spacing w:after="20"/>
            </w:pPr>
            <w:r>
              <w:rPr>
                <w:b/>
              </w:rPr>
              <w:t>Customer protection</w:t>
            </w:r>
          </w:p>
        </w:tc>
        <w:tc>
          <w:tcPr>
            <w:tcW w:type="dxa" w:w="5112"/>
            <w:tcMar>
              <w:top w:w="75" w:type="dxa"/>
              <w:start w:w="75" w:type="dxa"/>
              <w:bottom w:w="75" w:type="dxa"/>
              <w:end w:w="75" w:type="dxa"/>
            </w:tcMar>
            <w:vAlign w:val="center"/>
          </w:tcPr>
          <w:p>
            <w:pPr>
              <w:spacing w:after="20"/>
            </w:pPr>
            <w:r>
              <w:t>Opt-outs, complaints, excessive contact and outreach during unresolved cases.</w:t>
            </w:r>
          </w:p>
        </w:tc>
      </w:tr>
    </w:tbl>
    <w:p>
      <w:pPr>
        <w:pStyle w:val="Heading1"/>
      </w:pPr>
      <w:r>
        <w:t>Recommended phased roadmap</w:t>
      </w:r>
    </w:p>
    <w:p>
      <w:pPr>
        <w:pStyle w:val="ListBullet"/>
        <w:spacing w:after="40"/>
        <w:ind w:left="288" w:hanging="173"/>
      </w:pPr>
      <w:r>
        <w:t>Phase 1: Vehicle ownership, consent, service history, expected service date and baseline metrics.</w:t>
      </w:r>
    </w:p>
    <w:p>
      <w:pPr>
        <w:pStyle w:val="ListBullet"/>
        <w:spacing w:after="40"/>
        <w:ind w:left="288" w:hanging="173"/>
      </w:pPr>
      <w:r>
        <w:t>Phase 2: First-service, service-due, missed-service and declined-work rule journeys.</w:t>
      </w:r>
    </w:p>
    <w:p>
      <w:pPr>
        <w:pStyle w:val="ListBullet"/>
        <w:spacing w:after="40"/>
        <w:ind w:left="288" w:hanging="173"/>
      </w:pPr>
      <w:r>
        <w:t>Phase 3: Appointment, communication, price-perception and first-time-fix reason codes.</w:t>
      </w:r>
    </w:p>
    <w:p>
      <w:pPr>
        <w:pStyle w:val="ListBullet"/>
        <w:spacing w:after="40"/>
        <w:ind w:left="288" w:hanging="173"/>
      </w:pPr>
      <w:r>
        <w:t>Phase 4: Service-defection propensity, expected value and explainable prioritization.</w:t>
      </w:r>
    </w:p>
    <w:p>
      <w:pPr>
        <w:pStyle w:val="ListBullet"/>
        <w:spacing w:after="40"/>
        <w:ind w:left="288" w:hanging="173"/>
      </w:pPr>
      <w:r>
        <w:t>Phase 5: Next-best retention action, operational capacity integration, holdouts and uplift measurement.</w:t>
      </w:r>
    </w:p>
    <w:p>
      <w:r>
        <w:br w:type="page"/>
      </w:r>
    </w:p>
    <w:p>
      <w:pPr>
        <w:pStyle w:val="Title"/>
      </w:pPr>
      <w:r>
        <w:t>Source Register</w:t>
      </w:r>
    </w:p>
    <w:p>
      <w:r>
        <w:t>The links below are the public reports, study releases or publisher pages used for this service-retention review. Some complete reports require registration.</w:t>
      </w:r>
    </w:p>
    <w:p>
      <w:pPr>
        <w:pStyle w:val="SourceLink"/>
      </w:pPr>
      <w:r>
        <w:rPr>
          <w:b/>
        </w:rPr>
        <w:t xml:space="preserve">1. DriveSure: </w:t>
      </w:r>
      <w:hyperlink r:id="rId11">
        <w:r>
          <w:rPr>
            <w:color w:val="0563C1"/>
            <w:u w:val="single"/>
          </w:rPr>
          <w:t>2026 Dealership Service Retention Report</w:t>
        </w:r>
      </w:hyperlink>
    </w:p>
    <w:p>
      <w:pPr>
        <w:pStyle w:val="SourceLink"/>
      </w:pPr>
      <w:r>
        <w:rPr>
          <w:b/>
        </w:rPr>
        <w:t xml:space="preserve">2. Ducker Carlisle: </w:t>
      </w:r>
      <w:hyperlink r:id="rId12">
        <w:r>
          <w:rPr>
            <w:color w:val="0563C1"/>
            <w:u w:val="single"/>
          </w:rPr>
          <w:t>Consumer Sentiment Survey: Changing Auto Service Dynamics Benchmark</w:t>
        </w:r>
      </w:hyperlink>
    </w:p>
    <w:p>
      <w:pPr>
        <w:pStyle w:val="SourceLink"/>
      </w:pPr>
      <w:r>
        <w:rPr>
          <w:b/>
        </w:rPr>
        <w:t xml:space="preserve">3. Cox Automotive: </w:t>
      </w:r>
      <w:hyperlink r:id="rId13">
        <w:r>
          <w:rPr>
            <w:color w:val="0563C1"/>
            <w:u w:val="single"/>
          </w:rPr>
          <w:t>2025 Automotive Service Industry Study</w:t>
        </w:r>
      </w:hyperlink>
    </w:p>
    <w:p>
      <w:pPr>
        <w:pStyle w:val="SourceLink"/>
      </w:pPr>
      <w:r>
        <w:rPr>
          <w:b/>
        </w:rPr>
        <w:t xml:space="preserve">4. J.D. Power: </w:t>
      </w:r>
      <w:hyperlink r:id="rId14">
        <w:r>
          <w:rPr>
            <w:color w:val="0563C1"/>
            <w:u w:val="single"/>
          </w:rPr>
          <w:t>2025 U.S. Customer Service Index Study</w:t>
        </w:r>
      </w:hyperlink>
    </w:p>
    <w:p>
      <w:pPr>
        <w:pStyle w:val="SourceLink"/>
      </w:pPr>
      <w:r>
        <w:rPr>
          <w:b/>
        </w:rPr>
        <w:t xml:space="preserve">5. J.D. Power: </w:t>
      </w:r>
      <w:hyperlink r:id="rId15">
        <w:r>
          <w:rPr>
            <w:color w:val="0563C1"/>
            <w:u w:val="single"/>
          </w:rPr>
          <w:t>2025 U.S. Aftermarket Service Index Study</w:t>
        </w:r>
      </w:hyperlink>
    </w:p>
    <w:p>
      <w:pPr>
        <w:pStyle w:val="SourceLink"/>
      </w:pPr>
      <w:r>
        <w:rPr>
          <w:b/>
        </w:rPr>
        <w:t xml:space="preserve">6. Cox Automotive: </w:t>
      </w:r>
      <w:hyperlink r:id="rId16">
        <w:r>
          <w:rPr>
            <w:color w:val="0563C1"/>
            <w:u w:val="single"/>
          </w:rPr>
          <w:t>2026 Fixed Operations and Ownership Study</w:t>
        </w:r>
      </w:hyperlink>
    </w:p>
    <w:p>
      <w:pPr>
        <w:pStyle w:val="SourceLink"/>
      </w:pPr>
      <w:r>
        <w:rPr>
          <w:b/>
        </w:rPr>
        <w:t xml:space="preserve">7. J.D. Power: </w:t>
      </w:r>
      <w:hyperlink r:id="rId17">
        <w:r>
          <w:rPr>
            <w:color w:val="0563C1"/>
            <w:u w:val="single"/>
          </w:rPr>
          <w:t>2026 U.S. Electric Vehicle Experience Ownership Study</w:t>
        </w:r>
      </w:hyperlink>
    </w:p>
    <w:p>
      <w:pPr>
        <w:pStyle w:val="SourceLink"/>
      </w:pPr>
      <w:r>
        <w:rPr>
          <w:b/>
        </w:rPr>
        <w:t xml:space="preserve">8. J.D. Power: </w:t>
      </w:r>
      <w:hyperlink r:id="rId18">
        <w:r>
          <w:rPr>
            <w:color w:val="0563C1"/>
            <w:u w:val="single"/>
          </w:rPr>
          <w:t>2025 U.S. Electric Vehicle Experience Ownership Study</w:t>
        </w:r>
      </w:hyperlink>
    </w:p>
    <w:p>
      <w:pPr>
        <w:pStyle w:val="SourceLink"/>
      </w:pPr>
      <w:r>
        <w:rPr>
          <w:b/>
        </w:rPr>
        <w:t xml:space="preserve">9. J.D. Power: </w:t>
      </w:r>
      <w:hyperlink r:id="rId19">
        <w:r>
          <w:rPr>
            <w:color w:val="0563C1"/>
            <w:u w:val="single"/>
          </w:rPr>
          <w:t>2025 U.S. Sales Satisfaction Index Study</w:t>
        </w:r>
      </w:hyperlink>
    </w:p>
    <w:p>
      <w:pPr>
        <w:pStyle w:val="SourceLink"/>
      </w:pPr>
      <w:r>
        <w:rPr>
          <w:b/>
        </w:rPr>
        <w:t xml:space="preserve">10. Urban Science and The Harris Poll: </w:t>
      </w:r>
      <w:hyperlink r:id="rId20">
        <w:r>
          <w:rPr>
            <w:color w:val="0563C1"/>
            <w:u w:val="single"/>
          </w:rPr>
          <w:t>2026 Urban Science Harris Poll Report</w:t>
        </w:r>
      </w:hyperlink>
    </w:p>
    <w:sectPr w:rsidR="00FC693F" w:rsidRPr="0006063C" w:rsidSect="00034616">
      <w:headerReference w:type="default" r:id="rId9"/>
      <w:footerReference w:type="default" r:id="rId10"/>
      <w:pgSz w:w="12240" w:h="15840"/>
      <w:pgMar w:top="936" w:right="1008" w:bottom="893" w:left="1008"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4"/>
      </w:rPr>
      <w:t xml:space="preserve">SERVICE DEFECTION, FIXED OPERATIONS AND WIN-BACK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78"/>
        <w:sz w:val="14"/>
      </w:rPr>
      <w:t>U.S. Dealership Service Retention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w:hAnsi="Aptos"/>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w:hAnsi="Aptos"/>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20"/>
      <w:contextualSpacing/>
    </w:pPr>
    <w:rPr>
      <w:rFonts w:asciiTheme="majorHAnsi" w:eastAsiaTheme="majorEastAsia" w:hAnsiTheme="majorHAnsi" w:cstheme="majorBidi" w:ascii="Aptos Display" w:hAnsi="Aptos Display"/>
      <w:b/>
      <w:color w:val="17365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Link">
    <w:name w:val="Source Link"/>
    <w:rPr>
      <w:rFonts w:ascii="Aptos" w:hAnsi="Aptos"/>
      <w:color w:val="1F4E7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resources.drivesure.com/2026-dealership-service-retention-report" TargetMode="External"/><Relationship Id="rId12" Type="http://schemas.openxmlformats.org/officeDocument/2006/relationships/hyperlink" Target="https://www.duckercarlisle.com/knowledge-center/white-papers-articles/white-papers/css-2026/" TargetMode="External"/><Relationship Id="rId13" Type="http://schemas.openxmlformats.org/officeDocument/2006/relationships/hyperlink" Target="https://www.coxautoinc.com/wp-content/uploads/2025/10/2025-Service-Industry-Study-FINAL.pdf" TargetMode="External"/><Relationship Id="rId14" Type="http://schemas.openxmlformats.org/officeDocument/2006/relationships/hyperlink" Target="https://jdpower.com/business/press-releases/2025-us-customer-service-index-csi-study" TargetMode="External"/><Relationship Id="rId15" Type="http://schemas.openxmlformats.org/officeDocument/2006/relationships/hyperlink" Target="https://jdpower.com/business/press-releases/2025-us-aftermarket-service-index-asi-study" TargetMode="External"/><Relationship Id="rId16" Type="http://schemas.openxmlformats.org/officeDocument/2006/relationships/hyperlink" Target="https://digitaldealer.com/news/the-12000-leak-reclaiming-dealership-fixed-ops-revenue/170154/" TargetMode="External"/><Relationship Id="rId17" Type="http://schemas.openxmlformats.org/officeDocument/2006/relationships/hyperlink" Target="https://jdpower.com/business/press-releases/2026-us-electric-vehicle-experience-evx-ownership-study" TargetMode="External"/><Relationship Id="rId18" Type="http://schemas.openxmlformats.org/officeDocument/2006/relationships/hyperlink" Target="https://jdpower.com/business/press-releases/2025-us-electric-vehicle-experience-evx-ownership-study" TargetMode="External"/><Relationship Id="rId19" Type="http://schemas.openxmlformats.org/officeDocument/2006/relationships/hyperlink" Target="https://www.jdpower.com/business/press-releases/2025-us-sales-satisfaction-index-ssi-study" TargetMode="External"/><Relationship Id="rId20" Type="http://schemas.openxmlformats.org/officeDocument/2006/relationships/hyperlink" Target="https://www.urbanscience.com/2026-harris-poll-re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Top 10 U.S. Dealership Service Retention Studies</dc:title>
  <dc:subject>Customer defection, fixed operations, service win-back and retention journey strategy</dc:subject>
  <dc:creator>Gangadhar Pothala</dc:creator>
  <keywords/>
  <dc:description>generated by python-docx</dc:description>
  <lastModifiedBy>Gangadhar Pothala</lastModifiedBy>
  <revision>1</revision>
  <dcterms:created xsi:type="dcterms:W3CDTF">2026-08-13T05:57:49.4646086Z</dcterms:created>
  <dcterms:modified xsi:type="dcterms:W3CDTF">2026-08-13T05:57:49.4646086Z</dcterms:modified>
  <category/>
</coreProperties>
</file>