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8"/>
        </w:rPr>
        <w:t>Automotive Dealer Customer Retention</w:t>
      </w:r>
    </w:p>
    <w:p>
      <w:pPr>
        <w:spacing w:after="120"/>
        <w:jc w:val="center"/>
      </w:pPr>
      <w:r>
        <w:rPr>
          <w:rFonts w:ascii="Aptos" w:hAnsi="Aptos"/>
          <w:i/>
          <w:color w:val="595959"/>
          <w:sz w:val="20"/>
        </w:rPr>
        <w:t>US GM Dealer-Style Problem-to-Solution Flow with 100% Customer Coverage</w:t>
      </w:r>
    </w:p>
    <w:tbl>
      <w:tblPr>
        <w:tblW w:type="auto" w:w="0"/>
        <w:jc w:val="center"/>
        <w:tblLook w:firstColumn="1" w:firstRow="1" w:lastColumn="0" w:lastRow="0" w:noHBand="0" w:noVBand="1" w:val="04A0"/>
      </w:tblPr>
      <w:tblGrid>
        <w:gridCol w:w="10800"/>
      </w:tblGrid>
      <w:tr>
        <w:tc>
          <w:tcPr>
            <w:tcW w:type="dxa" w:w="10800"/>
            <w:shd w:fill="EAF2F8"/>
            <w:tcMar>
              <w:top w:w="100" w:type="dxa"/>
              <w:start w:w="125" w:type="dxa"/>
              <w:bottom w:w="100" w:type="dxa"/>
              <w:end w:w="125" w:type="dxa"/>
            </w:tcMar>
          </w:tcPr>
          <w:p>
            <w:pPr>
              <w:spacing w:after="0" w:line="240" w:lineRule="auto"/>
            </w:pPr>
            <w:r/>
            <w:r>
              <w:rPr>
                <w:b/>
                <w:color w:val="1F4E79"/>
                <w:sz w:val="17"/>
              </w:rPr>
              <w:t xml:space="preserve">Executive Summary: </w:t>
            </w:r>
            <w:r>
              <w:rPr>
                <w:sz w:val="17"/>
              </w:rPr>
              <w:t>The flow is updated to avoid dependency on sample numbers. It uses a US GM dealer-style planning baseline and first validates that the complete customer universe is covered. Every customer is assigned to one primary lifecycle segment, then enriched with churn risk, reason code, next best action, campaign eligibility, and dealer root-cause action where applicable.</w:t>
            </w:r>
          </w:p>
        </w:tc>
      </w:tr>
    </w:tbl>
    <w:p>
      <w:pPr>
        <w:spacing w:before="120" w:after="40"/>
      </w:pPr>
      <w:r>
        <w:rPr>
          <w:rFonts w:ascii="Aptos Display" w:hAnsi="Aptos Display"/>
          <w:b/>
          <w:color w:val="1F4E79"/>
          <w:sz w:val="24"/>
        </w:rPr>
        <w:t>1. Benchmark-Based Planning Context</w:t>
      </w:r>
    </w:p>
    <w:p>
      <w:pPr>
        <w:spacing w:after="50" w:line="240" w:lineRule="auto"/>
      </w:pPr>
      <w:r>
        <w:rPr>
          <w:rFonts w:ascii="Aptos" w:hAnsi="Aptos"/>
          <w:b w:val="0"/>
          <w:sz w:val="16"/>
        </w:rPr>
        <w:t>The demo should not treat 25,000 customers as a fixed standard. Public benchmarks show that the US franchised dealer network is large and service-heavy: NADA reported 16,990 franchised light-vehicle dealers, more than 276 million repair orders, and service and parts sales above $164 billion in 2025. GM also states that it has nearly 4,000 dealerships across all 50 states. Therefore, the UI should use dynamic dealer data, while the demo can use a realistic mid-size US GM dealer-style planning base.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center"/>
            <w:shd w:fill="1F4E79"/>
            <w:tcMar>
              <w:top w:w="60" w:type="dxa"/>
              <w:start w:w="70" w:type="dxa"/>
              <w:bottom w:w="60" w:type="dxa"/>
              <w:end w:w="70" w:type="dxa"/>
            </w:tcMar>
          </w:tcPr>
          <w:p>
            <w:pPr>
              <w:spacing w:after="0" w:line="240" w:lineRule="auto"/>
            </w:pPr>
            <w:r/>
            <w:r>
              <w:rPr>
                <w:rFonts w:ascii="Aptos" w:hAnsi="Aptos"/>
                <w:b/>
                <w:color w:val="FFFFFF"/>
                <w:sz w:val="15"/>
              </w:rPr>
              <w:t>Benchmark Area</w:t>
            </w:r>
          </w:p>
        </w:tc>
        <w:tc>
          <w:tcPr>
            <w:tcW w:type="dxa" w:w="2700"/>
            <w:vAlign w:val="center"/>
            <w:shd w:fill="1F4E79"/>
            <w:tcMar>
              <w:top w:w="60" w:type="dxa"/>
              <w:start w:w="70" w:type="dxa"/>
              <w:bottom w:w="60" w:type="dxa"/>
              <w:end w:w="70" w:type="dxa"/>
            </w:tcMar>
          </w:tcPr>
          <w:p>
            <w:pPr>
              <w:spacing w:after="0" w:line="240" w:lineRule="auto"/>
            </w:pPr>
            <w:r/>
            <w:r>
              <w:rPr>
                <w:rFonts w:ascii="Aptos" w:hAnsi="Aptos"/>
                <w:b/>
                <w:color w:val="FFFFFF"/>
                <w:sz w:val="15"/>
              </w:rPr>
              <w:t>Public Reference</w:t>
            </w:r>
          </w:p>
        </w:tc>
        <w:tc>
          <w:tcPr>
            <w:tcW w:type="dxa" w:w="2700"/>
            <w:vAlign w:val="center"/>
            <w:shd w:fill="1F4E79"/>
            <w:tcMar>
              <w:top w:w="60" w:type="dxa"/>
              <w:start w:w="70" w:type="dxa"/>
              <w:bottom w:w="60" w:type="dxa"/>
              <w:end w:w="70" w:type="dxa"/>
            </w:tcMar>
          </w:tcPr>
          <w:p>
            <w:pPr>
              <w:spacing w:after="0" w:line="240" w:lineRule="auto"/>
            </w:pPr>
            <w:r/>
            <w:r>
              <w:rPr>
                <w:rFonts w:ascii="Aptos" w:hAnsi="Aptos"/>
                <w:b/>
                <w:color w:val="FFFFFF"/>
                <w:sz w:val="15"/>
              </w:rPr>
              <w:t>Implication for Demo</w:t>
            </w:r>
          </w:p>
        </w:tc>
        <w:tc>
          <w:tcPr>
            <w:tcW w:type="dxa" w:w="2700"/>
            <w:vAlign w:val="center"/>
            <w:shd w:fill="1F4E79"/>
            <w:tcMar>
              <w:top w:w="60" w:type="dxa"/>
              <w:start w:w="70" w:type="dxa"/>
              <w:bottom w:w="60" w:type="dxa"/>
              <w:end w:w="70" w:type="dxa"/>
            </w:tcMar>
          </w:tcPr>
          <w:p>
            <w:pPr>
              <w:spacing w:after="0" w:line="240" w:lineRule="auto"/>
            </w:pPr>
            <w:r/>
            <w:r>
              <w:rPr>
                <w:rFonts w:ascii="Aptos" w:hAnsi="Aptos"/>
                <w:b/>
                <w:color w:val="FFFFFF"/>
                <w:sz w:val="15"/>
              </w:rPr>
              <w:t>UI Rule</w:t>
            </w:r>
          </w:p>
        </w:tc>
      </w:tr>
      <w:tr>
        <w:tc>
          <w:tcPr>
            <w:tcW w:type="dxa" w:w="2700"/>
            <w:vAlign w:val="center"/>
            <w:tcMar>
              <w:top w:w="55" w:type="dxa"/>
              <w:start w:w="60" w:type="dxa"/>
              <w:bottom w:w="55" w:type="dxa"/>
              <w:end w:w="60" w:type="dxa"/>
            </w:tcMar>
          </w:tcPr>
          <w:p>
            <w:pPr>
              <w:spacing w:after="0" w:line="240" w:lineRule="auto"/>
            </w:pPr>
            <w:r/>
            <w:r>
              <w:rPr>
                <w:rFonts w:ascii="Aptos" w:hAnsi="Aptos"/>
                <w:b w:val="0"/>
                <w:sz w:val="14"/>
              </w:rPr>
              <w:t>US dealer scale</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NADA: 16,990 franchised light-vehicle dealers in 2025</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Use dealer-size ranges instead of one fixed count</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Counts must come from selected dealer data</w:t>
            </w:r>
          </w:p>
        </w:tc>
      </w:tr>
      <w:tr>
        <w:tc>
          <w:tcPr>
            <w:tcW w:type="dxa" w:w="2700"/>
            <w:vAlign w:val="center"/>
            <w:tcMar>
              <w:top w:w="55" w:type="dxa"/>
              <w:start w:w="60" w:type="dxa"/>
              <w:bottom w:w="55" w:type="dxa"/>
              <w:end w:w="60" w:type="dxa"/>
            </w:tcMar>
          </w:tcPr>
          <w:p>
            <w:pPr>
              <w:spacing w:after="0" w:line="240" w:lineRule="auto"/>
            </w:pPr>
            <w:r/>
            <w:r>
              <w:rPr>
                <w:rFonts w:ascii="Aptos" w:hAnsi="Aptos"/>
                <w:b w:val="0"/>
                <w:sz w:val="14"/>
              </w:rPr>
              <w:t>Service intensity</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NADA: 276M+ repair orders and $164B+ service/parts sales</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Retention is strongly tied to fixed operations revenue</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Show service retention and revenue-at-risk KPIs</w:t>
            </w:r>
          </w:p>
        </w:tc>
      </w:tr>
      <w:tr>
        <w:tc>
          <w:tcPr>
            <w:tcW w:type="dxa" w:w="2700"/>
            <w:vAlign w:val="center"/>
            <w:tcMar>
              <w:top w:w="55" w:type="dxa"/>
              <w:start w:w="60" w:type="dxa"/>
              <w:bottom w:w="55" w:type="dxa"/>
              <w:end w:w="60" w:type="dxa"/>
            </w:tcMar>
          </w:tcPr>
          <w:p>
            <w:pPr>
              <w:spacing w:after="0" w:line="240" w:lineRule="auto"/>
            </w:pPr>
            <w:r/>
            <w:r>
              <w:rPr>
                <w:rFonts w:ascii="Aptos" w:hAnsi="Aptos"/>
                <w:b w:val="0"/>
                <w:sz w:val="14"/>
              </w:rPr>
              <w:t>GM footprint</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GM: nearly 4,000 US dealerships</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Demo should be GM dealer-style, not generic retail</w:t>
            </w:r>
          </w:p>
        </w:tc>
        <w:tc>
          <w:tcPr>
            <w:tcW w:type="dxa" w:w="2700"/>
            <w:vAlign w:val="center"/>
            <w:tcMar>
              <w:top w:w="55" w:type="dxa"/>
              <w:start w:w="60" w:type="dxa"/>
              <w:bottom w:w="55" w:type="dxa"/>
              <w:end w:w="60" w:type="dxa"/>
            </w:tcMar>
          </w:tcPr>
          <w:p>
            <w:pPr>
              <w:spacing w:after="0" w:line="240" w:lineRule="auto"/>
            </w:pPr>
            <w:r/>
            <w:r>
              <w:rPr>
                <w:rFonts w:ascii="Aptos" w:hAnsi="Aptos"/>
                <w:b w:val="0"/>
                <w:sz w:val="14"/>
              </w:rPr>
              <w:t>Use GM dealer lifecycle and service journey labels</w:t>
            </w:r>
          </w:p>
        </w:tc>
      </w:tr>
    </w:tbl>
    <w:p>
      <w:pPr>
        <w:spacing w:before="120" w:after="40"/>
      </w:pPr>
      <w:r>
        <w:rPr>
          <w:rFonts w:ascii="Aptos Display" w:hAnsi="Aptos Display"/>
          <w:b/>
          <w:color w:val="1F4E79"/>
          <w:sz w:val="24"/>
        </w:rPr>
        <w:t>2. 100% Customer Coverage Model</w:t>
      </w:r>
    </w:p>
    <w:p>
      <w:pPr>
        <w:spacing w:after="50" w:line="240" w:lineRule="auto"/>
      </w:pPr>
      <w:r>
        <w:rPr>
          <w:rFonts w:ascii="Aptos" w:hAnsi="Aptos"/>
          <w:b w:val="0"/>
          <w:sz w:val="16"/>
        </w:rPr>
        <w:t>For the updated example, use an estimated managed customer base of 18,000 for a mid-size US GM dealership. This is a planning baseline for demo storytelling only. The production application should calculate actual counts from DMS, CRM, sales, service, warranty, telematics, campaign, and customer profile data.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shd w:fill="F2F6FA"/>
            <w:tcMar>
              <w:top w:w="80" w:type="dxa"/>
              <w:start w:w="80" w:type="dxa"/>
              <w:bottom w:w="80" w:type="dxa"/>
              <w:end w:w="80" w:type="dxa"/>
            </w:tcMar>
          </w:tcPr>
          <w:p>
            <w:pPr>
              <w:spacing w:after="0"/>
              <w:jc w:val="center"/>
            </w:pPr>
            <w:r/>
            <w:r>
              <w:rPr>
                <w:b/>
                <w:color w:val="1F4E79"/>
                <w:sz w:val="26"/>
              </w:rPr>
              <w:t>18,000</w:t>
              <w:br/>
            </w:r>
            <w:r>
              <w:rPr>
                <w:color w:val="595959"/>
                <w:sz w:val="14"/>
              </w:rPr>
              <w:t>Managed Customer Base</w:t>
            </w:r>
          </w:p>
        </w:tc>
        <w:tc>
          <w:tcPr>
            <w:tcW w:type="dxa" w:w="2700"/>
            <w:shd w:fill="F2F6FA"/>
            <w:tcMar>
              <w:top w:w="80" w:type="dxa"/>
              <w:start w:w="80" w:type="dxa"/>
              <w:bottom w:w="80" w:type="dxa"/>
              <w:end w:w="80" w:type="dxa"/>
            </w:tcMar>
          </w:tcPr>
          <w:p>
            <w:pPr>
              <w:spacing w:after="0"/>
              <w:jc w:val="center"/>
            </w:pPr>
            <w:r/>
            <w:r>
              <w:rPr>
                <w:b/>
                <w:color w:val="1F4E79"/>
                <w:sz w:val="26"/>
              </w:rPr>
              <w:t>18,000</w:t>
              <w:br/>
            </w:r>
            <w:r>
              <w:rPr>
                <w:color w:val="595959"/>
                <w:sz w:val="14"/>
              </w:rPr>
              <w:t>Segmented Customers</w:t>
            </w:r>
          </w:p>
        </w:tc>
        <w:tc>
          <w:tcPr>
            <w:tcW w:type="dxa" w:w="2700"/>
            <w:shd w:fill="F2F6FA"/>
            <w:tcMar>
              <w:top w:w="80" w:type="dxa"/>
              <w:start w:w="80" w:type="dxa"/>
              <w:bottom w:w="80" w:type="dxa"/>
              <w:end w:w="80" w:type="dxa"/>
            </w:tcMar>
          </w:tcPr>
          <w:p>
            <w:pPr>
              <w:spacing w:after="0"/>
              <w:jc w:val="center"/>
            </w:pPr>
            <w:r/>
            <w:r>
              <w:rPr>
                <w:b/>
                <w:color w:val="1F4E79"/>
                <w:sz w:val="26"/>
              </w:rPr>
              <w:t>0</w:t>
              <w:br/>
            </w:r>
            <w:r>
              <w:rPr>
                <w:color w:val="595959"/>
                <w:sz w:val="14"/>
              </w:rPr>
              <w:t>Unclassified Customers</w:t>
            </w:r>
          </w:p>
        </w:tc>
        <w:tc>
          <w:tcPr>
            <w:tcW w:type="dxa" w:w="2700"/>
            <w:shd w:fill="F2F6FA"/>
            <w:tcMar>
              <w:top w:w="80" w:type="dxa"/>
              <w:start w:w="80" w:type="dxa"/>
              <w:bottom w:w="80" w:type="dxa"/>
              <w:end w:w="80" w:type="dxa"/>
            </w:tcMar>
          </w:tcPr>
          <w:p>
            <w:pPr>
              <w:spacing w:after="0"/>
              <w:jc w:val="center"/>
            </w:pPr>
            <w:r/>
            <w:r>
              <w:rPr>
                <w:b/>
                <w:color w:val="1F4E79"/>
                <w:sz w:val="26"/>
              </w:rPr>
              <w:t>100%</w:t>
              <w:br/>
            </w:r>
            <w:r>
              <w:rPr>
                <w:color w:val="595959"/>
                <w:sz w:val="14"/>
              </w:rPr>
              <w:t>Coverage Rate</w:t>
            </w:r>
          </w:p>
        </w:tc>
      </w:tr>
    </w:tbl>
    <w:p>
      <w:pPr>
        <w:spacing w:before="120" w:after="40"/>
      </w:pPr>
      <w:r>
        <w:rPr>
          <w:rFonts w:ascii="Aptos Display" w:hAnsi="Aptos Display"/>
          <w:b/>
          <w:color w:val="1F4E79"/>
          <w:sz w:val="24"/>
        </w:rPr>
        <w:t>3. Updated Full Segmentation Example</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vAlign w:val="center"/>
            <w:shd w:fill="1F4E79"/>
            <w:tcMar>
              <w:top w:w="55" w:type="dxa"/>
              <w:start w:w="55" w:type="dxa"/>
              <w:bottom w:w="55" w:type="dxa"/>
              <w:end w:w="55" w:type="dxa"/>
            </w:tcMar>
          </w:tcPr>
          <w:p>
            <w:pPr>
              <w:spacing w:after="0" w:line="240" w:lineRule="auto"/>
            </w:pPr>
            <w:r/>
            <w:r>
              <w:rPr>
                <w:rFonts w:ascii="Aptos" w:hAnsi="Aptos"/>
                <w:b/>
                <w:color w:val="FFFFFF"/>
                <w:sz w:val="14"/>
              </w:rPr>
              <w:t>Primary Segment</w:t>
            </w:r>
          </w:p>
        </w:tc>
        <w:tc>
          <w:tcPr>
            <w:tcW w:type="dxa" w:w="2160"/>
            <w:vAlign w:val="center"/>
            <w:shd w:fill="1F4E79"/>
            <w:tcMar>
              <w:top w:w="55" w:type="dxa"/>
              <w:start w:w="55" w:type="dxa"/>
              <w:bottom w:w="55" w:type="dxa"/>
              <w:end w:w="55" w:type="dxa"/>
            </w:tcMar>
          </w:tcPr>
          <w:p>
            <w:pPr>
              <w:spacing w:after="0" w:line="240" w:lineRule="auto"/>
            </w:pPr>
            <w:r/>
            <w:r>
              <w:rPr>
                <w:rFonts w:ascii="Aptos" w:hAnsi="Aptos"/>
                <w:b/>
                <w:color w:val="FFFFFF"/>
                <w:sz w:val="14"/>
              </w:rPr>
              <w:t>Count</w:t>
            </w:r>
          </w:p>
        </w:tc>
        <w:tc>
          <w:tcPr>
            <w:tcW w:type="dxa" w:w="2160"/>
            <w:vAlign w:val="center"/>
            <w:shd w:fill="1F4E79"/>
            <w:tcMar>
              <w:top w:w="55" w:type="dxa"/>
              <w:start w:w="55" w:type="dxa"/>
              <w:bottom w:w="55" w:type="dxa"/>
              <w:end w:w="55" w:type="dxa"/>
            </w:tcMar>
          </w:tcPr>
          <w:p>
            <w:pPr>
              <w:spacing w:after="0" w:line="240" w:lineRule="auto"/>
            </w:pPr>
            <w:r/>
            <w:r>
              <w:rPr>
                <w:rFonts w:ascii="Aptos" w:hAnsi="Aptos"/>
                <w:b/>
                <w:color w:val="FFFFFF"/>
                <w:sz w:val="14"/>
              </w:rPr>
              <w:t>Share</w:t>
            </w:r>
          </w:p>
        </w:tc>
        <w:tc>
          <w:tcPr>
            <w:tcW w:type="dxa" w:w="2160"/>
            <w:vAlign w:val="center"/>
            <w:shd w:fill="1F4E79"/>
            <w:tcMar>
              <w:top w:w="55" w:type="dxa"/>
              <w:start w:w="55" w:type="dxa"/>
              <w:bottom w:w="55" w:type="dxa"/>
              <w:end w:w="55" w:type="dxa"/>
            </w:tcMar>
          </w:tcPr>
          <w:p>
            <w:pPr>
              <w:spacing w:after="0" w:line="240" w:lineRule="auto"/>
            </w:pPr>
            <w:r/>
            <w:r>
              <w:rPr>
                <w:rFonts w:ascii="Aptos" w:hAnsi="Aptos"/>
                <w:b/>
                <w:color w:val="FFFFFF"/>
                <w:sz w:val="14"/>
              </w:rPr>
              <w:t>Business Meaning</w:t>
            </w:r>
          </w:p>
        </w:tc>
        <w:tc>
          <w:tcPr>
            <w:tcW w:type="dxa" w:w="2160"/>
            <w:vAlign w:val="center"/>
            <w:shd w:fill="1F4E79"/>
            <w:tcMar>
              <w:top w:w="55" w:type="dxa"/>
              <w:start w:w="55" w:type="dxa"/>
              <w:bottom w:w="55" w:type="dxa"/>
              <w:end w:w="55" w:type="dxa"/>
            </w:tcMar>
          </w:tcPr>
          <w:p>
            <w:pPr>
              <w:spacing w:after="0" w:line="240" w:lineRule="auto"/>
            </w:pPr>
            <w:r/>
            <w:r>
              <w:rPr>
                <w:rFonts w:ascii="Aptos" w:hAnsi="Aptos"/>
                <w:b/>
                <w:color w:val="FFFFFF"/>
                <w:sz w:val="14"/>
              </w:rPr>
              <w:t>Default Treatment</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Warranty / Free Service Stage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2,500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14%</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Early ownership customers not yet converted to paid service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Onboarding, education, trust building</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First Paid Service Due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1,200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7%</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Customers approaching first paid service conversion point</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3-year/5-year package, reminder, advisor follow-up</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Healthy Regular Paid Service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5,500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31%</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Satisfied active service customers with low churn signals</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Normal engagement, loyalty, seasonal reminders</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Regular Paid Service with Quality Issues</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2,000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11%</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Active customers showing dissatisfaction or service issues</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Goodwill offer, free inspection, service manager callback</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Medium-Risk Monitoring</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2,000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11%</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Early warning signals but not yet high risk</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Preventive engagement, soft offer, satisfaction check</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Lapsed / Dormant Service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3,500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19%</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No recent dealer service visit or missed scheduled service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Win-back offer, free health check, pickup/drop option</w:t>
            </w:r>
          </w:p>
        </w:tc>
      </w:tr>
      <w:tr>
        <w:tc>
          <w:tcPr>
            <w:tcW w:type="dxa" w:w="2160"/>
            <w:vAlign w:val="center"/>
            <w:tcMar>
              <w:top w:w="45" w:type="dxa"/>
              <w:start w:w="50" w:type="dxa"/>
              <w:bottom w:w="45" w:type="dxa"/>
              <w:end w:w="50" w:type="dxa"/>
            </w:tcMar>
          </w:tcPr>
          <w:p>
            <w:pPr>
              <w:spacing w:after="0" w:line="240" w:lineRule="auto"/>
            </w:pPr>
            <w:r/>
            <w:r>
              <w:rPr>
                <w:rFonts w:ascii="Aptos" w:hAnsi="Aptos"/>
                <w:b w:val="0"/>
                <w:sz w:val="13"/>
              </w:rPr>
              <w:t>Ownership Change / Data Validation</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1,300</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7%</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Possible sold vehicle, relocation, duplicate, or invalid profile</w:t>
            </w:r>
          </w:p>
        </w:tc>
        <w:tc>
          <w:tcPr>
            <w:tcW w:type="dxa" w:w="2160"/>
            <w:vAlign w:val="center"/>
            <w:tcMar>
              <w:top w:w="45" w:type="dxa"/>
              <w:start w:w="50" w:type="dxa"/>
              <w:bottom w:w="45" w:type="dxa"/>
              <w:end w:w="50" w:type="dxa"/>
            </w:tcMar>
          </w:tcPr>
          <w:p>
            <w:pPr>
              <w:spacing w:after="0" w:line="240" w:lineRule="auto"/>
            </w:pPr>
            <w:r/>
            <w:r>
              <w:rPr>
                <w:rFonts w:ascii="Aptos" w:hAnsi="Aptos"/>
                <w:b w:val="0"/>
                <w:sz w:val="13"/>
              </w:rPr>
              <w:t>Validate ownership, clean profile, suppress wrong campaigns</w:t>
            </w:r>
          </w:p>
        </w:tc>
      </w:tr>
    </w:tbl>
    <w:p>
      <w:pPr>
        <w:spacing w:before="120" w:after="40"/>
      </w:pPr>
      <w:r>
        <w:rPr>
          <w:rFonts w:ascii="Aptos Display" w:hAnsi="Aptos Display"/>
          <w:b/>
          <w:color w:val="1F4E79"/>
          <w:sz w:val="24"/>
        </w:rPr>
        <w:t>4. Industry-Standard Flow</w:t>
      </w:r>
    </w:p>
    <w:p>
      <w:pPr>
        <w:spacing w:after="80"/>
        <w:jc w:val="center"/>
      </w:pPr>
      <w:r>
        <w:rPr>
          <w:b/>
          <w:color w:val="1F4E79"/>
          <w:sz w:val="15"/>
        </w:rPr>
        <w:t>Dealer Selected -&gt; Customer Universe Identified -&gt; Coverage Check -&gt; Lifecycle Segment -&gt; Risk Score -&gt; Reason Code -&gt; Next Best Action -&gt; Campaign / Operational Action -&gt; Impact Tracking</w:t>
      </w:r>
    </w:p>
    <w:p>
      <w:pPr>
        <w:spacing w:before="120" w:after="40"/>
      </w:pPr>
      <w:r>
        <w:rPr>
          <w:rFonts w:ascii="Aptos Display" w:hAnsi="Aptos Display"/>
          <w:b/>
          <w:color w:val="1F4E79"/>
          <w:sz w:val="24"/>
        </w:rPr>
        <w:t>5. Consolidated UI Tabs</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center"/>
            <w:shd w:fill="1F4E79"/>
            <w:tcMar>
              <w:top w:w="55" w:type="dxa"/>
              <w:start w:w="60" w:type="dxa"/>
              <w:bottom w:w="55" w:type="dxa"/>
              <w:end w:w="60" w:type="dxa"/>
            </w:tcMar>
          </w:tcPr>
          <w:p>
            <w:pPr>
              <w:spacing w:after="0" w:line="240" w:lineRule="auto"/>
            </w:pPr>
            <w:r/>
            <w:r>
              <w:rPr>
                <w:rFonts w:ascii="Aptos" w:hAnsi="Aptos"/>
                <w:b/>
                <w:color w:val="FFFFFF"/>
                <w:sz w:val="15"/>
              </w:rPr>
              <w:t>Tab</w:t>
            </w:r>
          </w:p>
        </w:tc>
        <w:tc>
          <w:tcPr>
            <w:tcW w:type="dxa" w:w="2700"/>
            <w:vAlign w:val="center"/>
            <w:shd w:fill="1F4E79"/>
            <w:tcMar>
              <w:top w:w="55" w:type="dxa"/>
              <w:start w:w="60" w:type="dxa"/>
              <w:bottom w:w="55" w:type="dxa"/>
              <w:end w:w="60" w:type="dxa"/>
            </w:tcMar>
          </w:tcPr>
          <w:p>
            <w:pPr>
              <w:spacing w:after="0" w:line="240" w:lineRule="auto"/>
            </w:pPr>
            <w:r/>
            <w:r>
              <w:rPr>
                <w:rFonts w:ascii="Aptos" w:hAnsi="Aptos"/>
                <w:b/>
                <w:color w:val="FFFFFF"/>
                <w:sz w:val="15"/>
              </w:rPr>
              <w:t>Purpose</w:t>
            </w:r>
          </w:p>
        </w:tc>
        <w:tc>
          <w:tcPr>
            <w:tcW w:type="dxa" w:w="2700"/>
            <w:vAlign w:val="center"/>
            <w:shd w:fill="1F4E79"/>
            <w:tcMar>
              <w:top w:w="55" w:type="dxa"/>
              <w:start w:w="60" w:type="dxa"/>
              <w:bottom w:w="55" w:type="dxa"/>
              <w:end w:w="60" w:type="dxa"/>
            </w:tcMar>
          </w:tcPr>
          <w:p>
            <w:pPr>
              <w:spacing w:after="0" w:line="240" w:lineRule="auto"/>
            </w:pPr>
            <w:r/>
            <w:r>
              <w:rPr>
                <w:rFonts w:ascii="Aptos" w:hAnsi="Aptos"/>
                <w:b/>
                <w:color w:val="FFFFFF"/>
                <w:sz w:val="15"/>
              </w:rPr>
              <w:t>Key Output</w:t>
            </w:r>
          </w:p>
        </w:tc>
        <w:tc>
          <w:tcPr>
            <w:tcW w:type="dxa" w:w="2700"/>
            <w:vAlign w:val="center"/>
            <w:shd w:fill="1F4E79"/>
            <w:tcMar>
              <w:top w:w="55" w:type="dxa"/>
              <w:start w:w="60" w:type="dxa"/>
              <w:bottom w:w="55" w:type="dxa"/>
              <w:end w:w="60" w:type="dxa"/>
            </w:tcMar>
          </w:tcPr>
          <w:p>
            <w:pPr>
              <w:spacing w:after="0" w:line="240" w:lineRule="auto"/>
            </w:pPr>
            <w:r/>
            <w:r>
              <w:rPr>
                <w:rFonts w:ascii="Aptos" w:hAnsi="Aptos"/>
                <w:b/>
                <w:color w:val="FFFFFF"/>
                <w:sz w:val="15"/>
              </w:rPr>
              <w:t>Decision Point</w:t>
            </w:r>
          </w:p>
        </w:tc>
      </w:tr>
      <w:tr>
        <w:tc>
          <w:tcPr>
            <w:tcW w:type="dxa" w:w="2700"/>
            <w:vAlign w:val="center"/>
            <w:tcMar>
              <w:top w:w="48" w:type="dxa"/>
              <w:start w:w="55" w:type="dxa"/>
              <w:bottom w:w="48" w:type="dxa"/>
              <w:end w:w="55" w:type="dxa"/>
            </w:tcMar>
          </w:tcPr>
          <w:p>
            <w:pPr>
              <w:spacing w:after="0" w:line="240" w:lineRule="auto"/>
            </w:pPr>
            <w:r/>
            <w:r>
              <w:rPr>
                <w:rFonts w:ascii="Aptos" w:hAnsi="Aptos"/>
                <w:b w:val="0"/>
                <w:sz w:val="13"/>
              </w:rPr>
              <w:t>Executive Retention Command Center</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Leadership view of customer coverage, churn, revenue risk, and action priority</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Total base, segmented customers, unclassified customers, revenue risk</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Approve retention focus area?</w:t>
            </w:r>
          </w:p>
        </w:tc>
      </w:tr>
      <w:tr>
        <w:tc>
          <w:tcPr>
            <w:tcW w:type="dxa" w:w="2700"/>
            <w:vAlign w:val="center"/>
            <w:tcMar>
              <w:top w:w="48" w:type="dxa"/>
              <w:start w:w="55" w:type="dxa"/>
              <w:bottom w:w="48" w:type="dxa"/>
              <w:end w:w="55" w:type="dxa"/>
            </w:tcMar>
          </w:tcPr>
          <w:p>
            <w:pPr>
              <w:spacing w:after="0" w:line="240" w:lineRule="auto"/>
            </w:pPr>
            <w:r/>
            <w:r>
              <w:rPr>
                <w:rFonts w:ascii="Aptos" w:hAnsi="Aptos"/>
                <w:b w:val="0"/>
                <w:sz w:val="13"/>
              </w:rPr>
              <w:t>Customer Lifecycle and Risk Segmentation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Ensures every customer belongs to one primary segment</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Segment count, risk tier, eligibility, ownership/data flags</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Prioritize segment? Exclude invalid profiles?</w:t>
            </w:r>
          </w:p>
        </w:tc>
      </w:tr>
      <w:tr>
        <w:tc>
          <w:tcPr>
            <w:tcW w:type="dxa" w:w="2700"/>
            <w:vAlign w:val="center"/>
            <w:tcMar>
              <w:top w:w="48" w:type="dxa"/>
              <w:start w:w="55" w:type="dxa"/>
              <w:bottom w:w="48" w:type="dxa"/>
              <w:end w:w="55" w:type="dxa"/>
            </w:tcMar>
          </w:tcPr>
          <w:p>
            <w:pPr>
              <w:spacing w:after="0" w:line="240" w:lineRule="auto"/>
            </w:pPr>
            <w:r/>
            <w:r>
              <w:rPr>
                <w:rFonts w:ascii="Aptos" w:hAnsi="Aptos"/>
                <w:b w:val="0"/>
                <w:sz w:val="13"/>
              </w:rPr>
              <w:t>Churn Intelligence and Next Best Action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Explains who may churn, why, and what to do</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Churn score, reason code, offer, channel, action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Approve, hold, or exclude action?</w:t>
            </w:r>
          </w:p>
        </w:tc>
      </w:tr>
      <w:tr>
        <w:tc>
          <w:tcPr>
            <w:tcW w:type="dxa" w:w="2700"/>
            <w:vAlign w:val="center"/>
            <w:tcMar>
              <w:top w:w="48" w:type="dxa"/>
              <w:start w:w="55" w:type="dxa"/>
              <w:bottom w:w="48" w:type="dxa"/>
              <w:end w:w="55" w:type="dxa"/>
            </w:tcMar>
          </w:tcPr>
          <w:p>
            <w:pPr>
              <w:spacing w:after="0" w:line="240" w:lineRule="auto"/>
            </w:pPr>
            <w:r/>
            <w:r>
              <w:rPr>
                <w:rFonts w:ascii="Aptos" w:hAnsi="Aptos"/>
                <w:b w:val="0"/>
                <w:sz w:val="13"/>
              </w:rPr>
              <w:t>Campaign and Offer Execution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Turns insights into customer outreach</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Service package, goodwill offer, win-back journey, reminders</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Launch campaign? Select offer?</w:t>
            </w:r>
          </w:p>
        </w:tc>
      </w:tr>
      <w:tr>
        <w:tc>
          <w:tcPr>
            <w:tcW w:type="dxa" w:w="2700"/>
            <w:vAlign w:val="center"/>
            <w:tcMar>
              <w:top w:w="48" w:type="dxa"/>
              <w:start w:w="55" w:type="dxa"/>
              <w:bottom w:w="48" w:type="dxa"/>
              <w:end w:w="55" w:type="dxa"/>
            </w:tcMar>
          </w:tcPr>
          <w:p>
            <w:pPr>
              <w:spacing w:after="0" w:line="240" w:lineRule="auto"/>
            </w:pPr>
            <w:r/>
            <w:r>
              <w:rPr>
                <w:rFonts w:ascii="Aptos" w:hAnsi="Aptos"/>
                <w:b w:val="0"/>
                <w:sz w:val="13"/>
              </w:rPr>
              <w:t>Dealer Root Cause and Service Quality Intelligence</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Identifies process issues causing churn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Repeat repairs, delays, poor communication, incomplete inspection</w:t>
            </w:r>
          </w:p>
        </w:tc>
        <w:tc>
          <w:tcPr>
            <w:tcW w:type="dxa" w:w="2700"/>
            <w:vAlign w:val="center"/>
            <w:tcMar>
              <w:top w:w="48" w:type="dxa"/>
              <w:start w:w="55" w:type="dxa"/>
              <w:bottom w:w="48" w:type="dxa"/>
              <w:end w:w="55" w:type="dxa"/>
            </w:tcMar>
          </w:tcPr>
          <w:p>
            <w:pPr>
              <w:spacing w:after="0" w:line="240" w:lineRule="auto"/>
            </w:pPr>
            <w:r/>
            <w:r>
              <w:rPr>
                <w:rFonts w:ascii="Aptos" w:hAnsi="Aptos"/>
                <w:b w:val="0"/>
                <w:sz w:val="13"/>
              </w:rPr>
              <w:t>Enable checklist, audit, or advisor training?</w:t>
            </w:r>
          </w:p>
        </w:tc>
      </w:tr>
    </w:tbl>
    <w:p>
      <w:pPr>
        <w:spacing w:before="120" w:after="40"/>
      </w:pPr>
      <w:r>
        <w:rPr>
          <w:rFonts w:ascii="Aptos Display" w:hAnsi="Aptos Display"/>
          <w:b/>
          <w:color w:val="1F4E79"/>
          <w:sz w:val="24"/>
        </w:rPr>
        <w:t>6. Updated Business Story</w:t>
      </w:r>
    </w:p>
    <w:p>
      <w:pPr>
        <w:pStyle w:val="ListBullet"/>
        <w:spacing w:after="20" w:line="240" w:lineRule="auto"/>
        <w:ind w:left="288"/>
      </w:pPr>
      <w:r>
        <w:rPr>
          <w:rFonts w:ascii="Aptos" w:hAnsi="Aptos"/>
          <w:sz w:val="15"/>
        </w:rPr>
        <w:t>The manager selects a US GM dealership and the platform identifies the complete managed customer universe.</w:t>
      </w:r>
    </w:p>
    <w:p>
      <w:pPr>
        <w:pStyle w:val="ListBullet"/>
        <w:spacing w:after="20" w:line="240" w:lineRule="auto"/>
        <w:ind w:left="288"/>
      </w:pPr>
      <w:r>
        <w:rPr>
          <w:rFonts w:ascii="Aptos" w:hAnsi="Aptos"/>
          <w:sz w:val="15"/>
        </w:rPr>
        <w:t>The system validates coverage first: total customers equal segmented customers, and unclassified customers equal zero.</w:t>
      </w:r>
    </w:p>
    <w:p>
      <w:pPr>
        <w:pStyle w:val="ListBullet"/>
        <w:spacing w:after="20" w:line="240" w:lineRule="auto"/>
        <w:ind w:left="288"/>
      </w:pPr>
      <w:r>
        <w:rPr>
          <w:rFonts w:ascii="Aptos" w:hAnsi="Aptos"/>
          <w:sz w:val="15"/>
        </w:rPr>
        <w:t>Every customer is assigned to one primary lifecycle segment, then enriched with risk level, churn reason, offer eligibility, and next best action.</w:t>
      </w:r>
    </w:p>
    <w:p>
      <w:pPr>
        <w:pStyle w:val="ListBullet"/>
        <w:spacing w:after="20" w:line="240" w:lineRule="auto"/>
        <w:ind w:left="288"/>
      </w:pPr>
      <w:r>
        <w:rPr>
          <w:rFonts w:ascii="Aptos" w:hAnsi="Aptos"/>
          <w:sz w:val="15"/>
        </w:rPr>
        <w:t>High-value actions are routed for Yes/No approval, such as first paid service package campaigns, goodwill recovery offers, win-back journeys, or dealer service-quality fixes.</w:t>
      </w:r>
    </w:p>
    <w:p>
      <w:pPr>
        <w:pStyle w:val="ListBullet"/>
        <w:spacing w:after="20" w:line="240" w:lineRule="auto"/>
        <w:ind w:left="288"/>
      </w:pPr>
      <w:r>
        <w:rPr>
          <w:rFonts w:ascii="Aptos" w:hAnsi="Aptos"/>
          <w:sz w:val="15"/>
        </w:rPr>
        <w:t>The platform tracks retained customers, campaign response, revenue recovered, service satisfaction improvement, and recurring root-cause reduction.</w:t>
      </w:r>
    </w:p>
    <w:p>
      <w:pPr>
        <w:spacing w:before="120" w:after="40"/>
      </w:pPr>
      <w:r>
        <w:rPr>
          <w:rFonts w:ascii="Aptos Display" w:hAnsi="Aptos Display"/>
          <w:b/>
          <w:color w:val="1F4E79"/>
          <w:sz w:val="24"/>
        </w:rPr>
        <w:t>7. Final Recommendation</w:t>
      </w:r>
    </w:p>
    <w:p>
      <w:pPr>
        <w:spacing w:after="40" w:line="240" w:lineRule="auto"/>
      </w:pPr>
      <w:r>
        <w:rPr>
          <w:rFonts w:ascii="Aptos" w:hAnsi="Aptos"/>
          <w:b/>
          <w:color w:val="1F4E79"/>
          <w:sz w:val="16"/>
        </w:rPr>
        <w:t>Position the application as a Dealer Retention Intelligence Platform. The strongest message is: every customer is covered, every customer receives a clear segment, and every segment has a recommended treatment. Final dealership counts should always be derived dynamically from real dealer data, while the 18,000-customer example is used only to communicate the end-to-end flow.</w:t>
      </w:r>
    </w:p>
    <w:p>
      <w:pPr>
        <w:spacing w:before="60" w:after="40"/>
      </w:pPr>
      <w:r>
        <w:rPr>
          <w:rFonts w:ascii="Aptos Display" w:hAnsi="Aptos Display"/>
          <w:b/>
          <w:color w:val="2E74B5"/>
          <w:sz w:val="18"/>
        </w:rPr>
        <w:t>Sources / Industry Context</w:t>
      </w:r>
    </w:p>
    <w:p>
      <w:pPr>
        <w:spacing w:after="0" w:line="240" w:lineRule="auto"/>
      </w:pPr>
      <w:r>
        <w:rPr>
          <w:rFonts w:ascii="Aptos" w:hAnsi="Aptos"/>
          <w:b w:val="0"/>
          <w:color w:val="595959"/>
          <w:sz w:val="13"/>
        </w:rPr>
        <w:t>NADA Data 2025: US franchised dealer count, repair orders, and service/parts sales. GM U.S. Operations: nearly 4,000 dealerships across all 50 states. Urban Science dealership throughput context can be used for sizing discussion if needed.</w:t>
      </w:r>
    </w:p>
    <w:sectPr w:rsidR="00FC693F" w:rsidRPr="0006063C" w:rsidSect="00034616">
      <w:footerReference w:type="default" r:id="rId9"/>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4"/>
      </w:rPr>
      <w:t>Updated for Manager Review | 100% Customer Coverage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Gangadhar Pothala</dc:creator>
  <keywords/>
  <dc:description>generated by python-docx</dc:description>
  <lastModifiedBy>Gangadhar Pothala</lastModifiedBy>
  <revision>1</revision>
  <dcterms:created xsi:type="dcterms:W3CDTF">2026-07-31T15:05:41.9550019Z</dcterms:created>
  <dcterms:modified xsi:type="dcterms:W3CDTF">2026-07-31T15:05:41.9550019Z</dcterms:modified>
  <category/>
</coreProperties>
</file>