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0"/>
        </w:rPr>
        <w:t>FORM 2</w:t>
        <w:br/>
        <w:t>THE PATENTS ACT, 1970 (39 of 1970)</w:t>
        <w:br/>
        <w:t>&amp;</w:t>
        <w:br/>
        <w:t>THE PATENTS RULES, 2003</w:t>
        <w:br/>
        <w:t>PROVISIONAL SPECIFICATION</w:t>
        <w:br/>
        <w:t>(See section 10 and rule 13)</w:t>
      </w:r>
    </w:p>
    <w:p>
      <w:pPr>
        <w:spacing w:before="280" w:after="80"/>
      </w:pPr>
      <w:r>
        <w:rPr>
          <w:rFonts w:ascii="Times New Roman" w:hAnsi="Times New Roman"/>
          <w:b/>
          <w:color w:val="003366"/>
          <w:sz w:val="24"/>
        </w:rPr>
        <w:t>1. TITLE OF THE INVENTION</w:t>
      </w:r>
    </w:p>
    <w:p>
      <w:pPr>
        <w:spacing w:after="120" w:line="276" w:lineRule="auto"/>
      </w:pPr>
      <w:r>
        <w:rPr>
          <w:rFonts w:ascii="Times New Roman" w:hAnsi="Times New Roman"/>
          <w:i w:val="0"/>
          <w:sz w:val="22"/>
        </w:rPr>
        <w:t>SELF-HEALING CYBER-HARDENED BATTERY MANAGEMENT SYSTEM WITH DYNAMIC TRUST-MODULATED STATE ESTIMATION, ADAPTIVE CELL RECONFIGURATION, AND SECURE TELEMATICS GATEWAY FOR ELECTRIC VEHICLES</w:t>
      </w:r>
    </w:p>
    <w:p>
      <w:pPr>
        <w:spacing w:before="280" w:after="80"/>
      </w:pPr>
      <w:r>
        <w:rPr>
          <w:rFonts w:ascii="Times New Roman" w:hAnsi="Times New Roman"/>
          <w:b/>
          <w:color w:val="003366"/>
          <w:sz w:val="24"/>
        </w:rPr>
        <w:t>2. APPLICANT(S) AND INVENTOR(S)</w:t>
      </w:r>
    </w:p>
    <w:p>
      <w:pPr>
        <w:spacing w:after="120" w:line="276" w:lineRule="auto"/>
      </w:pPr>
      <w:r>
        <w:rPr>
          <w:rFonts w:ascii="Times New Roman" w:hAnsi="Times New Roman"/>
          <w:b/>
          <w:sz w:val="22"/>
        </w:rPr>
        <w:t xml:space="preserve">Applicant: </w:t>
      </w:r>
      <w:r>
        <w:rPr>
          <w:rFonts w:ascii="Times New Roman" w:hAnsi="Times New Roman"/>
          <w:i w:val="0"/>
          <w:sz w:val="22"/>
        </w:rPr>
        <w:t>Galgotias College of Engineering and Technology (GCET)</w:t>
      </w:r>
    </w:p>
    <w:p>
      <w:pPr>
        <w:spacing w:after="120" w:line="276" w:lineRule="auto"/>
      </w:pPr>
      <w:r>
        <w:rPr>
          <w:rFonts w:ascii="Times New Roman" w:hAnsi="Times New Roman"/>
          <w:b/>
          <w:sz w:val="22"/>
        </w:rPr>
        <w:t xml:space="preserve">Nationality: </w:t>
      </w:r>
      <w:r>
        <w:rPr>
          <w:rFonts w:ascii="Times New Roman" w:hAnsi="Times New Roman"/>
          <w:i w:val="0"/>
          <w:sz w:val="22"/>
        </w:rPr>
        <w:t>India</w:t>
      </w:r>
    </w:p>
    <w:p>
      <w:pPr>
        <w:spacing w:after="120" w:line="276" w:lineRule="auto"/>
      </w:pPr>
      <w:r>
        <w:rPr>
          <w:rFonts w:ascii="Times New Roman" w:hAnsi="Times New Roman"/>
          <w:b/>
          <w:sz w:val="22"/>
        </w:rPr>
        <w:t xml:space="preserve">Address: </w:t>
      </w:r>
      <w:r>
        <w:rPr>
          <w:rFonts w:ascii="Times New Roman" w:hAnsi="Times New Roman"/>
          <w:i w:val="0"/>
          <w:sz w:val="22"/>
        </w:rPr>
        <w:t>Knowledge Park II, Greater Noida, Uttar Pradesh 201306, India</w:t>
      </w:r>
    </w:p>
    <w:p>
      <w:pPr>
        <w:spacing w:after="120" w:line="276" w:lineRule="auto"/>
      </w:pPr>
      <w:r>
        <w:rPr>
          <w:rFonts w:ascii="Times New Roman" w:hAnsi="Times New Roman"/>
          <w:b/>
          <w:sz w:val="22"/>
        </w:rPr>
        <w:t xml:space="preserve">Inventors: </w:t>
      </w:r>
      <w:r>
        <w:rPr>
          <w:rFonts w:ascii="Times New Roman" w:hAnsi="Times New Roman"/>
          <w:i w:val="0"/>
          <w:sz w:val="22"/>
        </w:rPr>
        <w:t>Aman Kumar Singh, Anurag Raj, Alok Kumar, Ayush Singh</w:t>
      </w:r>
    </w:p>
    <w:p>
      <w:pPr>
        <w:spacing w:after="120" w:line="276" w:lineRule="auto"/>
      </w:pPr>
      <w:r>
        <w:rPr>
          <w:rFonts w:ascii="Times New Roman" w:hAnsi="Times New Roman"/>
          <w:b/>
          <w:sz w:val="22"/>
        </w:rPr>
        <w:t xml:space="preserve">Inventors' Nationality: </w:t>
      </w:r>
      <w:r>
        <w:rPr>
          <w:rFonts w:ascii="Times New Roman" w:hAnsi="Times New Roman"/>
          <w:i w:val="0"/>
          <w:sz w:val="22"/>
        </w:rPr>
        <w:t>Indian</w:t>
      </w:r>
    </w:p>
    <w:p>
      <w:pPr>
        <w:spacing w:after="120" w:line="276" w:lineRule="auto"/>
      </w:pPr>
      <w:r>
        <w:rPr>
          <w:rFonts w:ascii="Times New Roman" w:hAnsi="Times New Roman"/>
          <w:b/>
          <w:sz w:val="22"/>
        </w:rPr>
        <w:t xml:space="preserve">Address for Service: </w:t>
      </w:r>
      <w:r>
        <w:rPr>
          <w:rFonts w:ascii="Times New Roman" w:hAnsi="Times New Roman"/>
          <w:i w:val="0"/>
          <w:sz w:val="22"/>
        </w:rPr>
        <w:t>Department of Electrical &amp; Electronics Engineering, Galgotias College of Engineering and Technology, Knowledge Park II, Greater Noida, UP 201306, India.</w:t>
      </w:r>
    </w:p>
    <w:p>
      <w:pPr>
        <w:spacing w:before="280" w:after="80"/>
      </w:pPr>
      <w:r>
        <w:rPr>
          <w:rFonts w:ascii="Times New Roman" w:hAnsi="Times New Roman"/>
          <w:b/>
          <w:color w:val="003366"/>
          <w:sz w:val="24"/>
        </w:rPr>
        <w:t>3. PREAMBLE TO THE DESCRIPTION</w:t>
      </w:r>
    </w:p>
    <w:p>
      <w:pPr>
        <w:spacing w:after="120" w:line="276" w:lineRule="auto"/>
      </w:pPr>
      <w:r>
        <w:rPr>
          <w:rFonts w:ascii="Times New Roman" w:hAnsi="Times New Roman"/>
          <w:i w:val="0"/>
          <w:sz w:val="22"/>
        </w:rPr>
        <w:t>The following specification describes the invention and the manner in which it is to be performed:</w:t>
      </w:r>
    </w:p>
    <w:p>
      <w:pPr>
        <w:spacing w:before="280" w:after="80"/>
      </w:pPr>
      <w:r>
        <w:rPr>
          <w:rFonts w:ascii="Times New Roman" w:hAnsi="Times New Roman"/>
          <w:b/>
          <w:color w:val="003366"/>
          <w:sz w:val="24"/>
        </w:rPr>
        <w:t>4. FIELD OF THE INVENTION</w:t>
      </w:r>
    </w:p>
    <w:p>
      <w:pPr>
        <w:spacing w:after="120" w:line="276" w:lineRule="auto"/>
      </w:pPr>
      <w:r>
        <w:rPr>
          <w:rFonts w:ascii="Times New Roman" w:hAnsi="Times New Roman"/>
          <w:i w:val="0"/>
          <w:sz w:val="22"/>
        </w:rPr>
        <w:t>The present invention relates generally to battery management systems (BMS) for electric vehicles (EVs) and energy storage systems. More particularly, the invention relates to an integrated 7-layer self-healing system and method wherein communication trust assessment dynamically modifies state estimation, synchronizes with a digital twin virtual model, triggers active recovery control decisions, and controls secure telematics gateway forwarding.</w:t>
      </w:r>
    </w:p>
    <w:p>
      <w:pPr>
        <w:spacing w:before="280" w:after="80"/>
      </w:pPr>
      <w:r>
        <w:rPr>
          <w:rFonts w:ascii="Times New Roman" w:hAnsi="Times New Roman"/>
          <w:b/>
          <w:color w:val="003366"/>
          <w:sz w:val="24"/>
        </w:rPr>
        <w:t>5. BACKGROUND OF THE INVENTION AND PRIOR ART</w:t>
      </w:r>
    </w:p>
    <w:p>
      <w:pPr>
        <w:spacing w:after="120" w:line="276" w:lineRule="auto"/>
      </w:pPr>
      <w:r>
        <w:rPr>
          <w:rFonts w:ascii="Times New Roman" w:hAnsi="Times New Roman"/>
          <w:i w:val="0"/>
          <w:sz w:val="22"/>
        </w:rPr>
        <w:t>Electric vehicles rely on internal communication networks, such as Controller Area Network (CAN) bus systems, to exchange battery telemetry between cell monitoring circuits, battery management controllers, vehicle electronic control units (ECUs), and telematics gateways.</w:t>
      </w:r>
    </w:p>
    <w:p>
      <w:pPr>
        <w:spacing w:after="120" w:line="276" w:lineRule="auto"/>
      </w:pPr>
      <w:r>
        <w:rPr>
          <w:rFonts w:ascii="Times New Roman" w:hAnsi="Times New Roman"/>
          <w:i w:val="0"/>
          <w:sz w:val="22"/>
        </w:rPr>
        <w:t>However, standard internal vehicle communication protocols lack frame authentication or encryption. Malicious nodes or compromised diagnostic interfaces can inject falsified voltage, current, or temperature frames into the internal bus. Unprotected battery state estimators process these corrupted signals, resulting in severe State of Charge (SoC) estimation drift (&gt;33.8% error), which risks battery overcharging, accelerated degradation, or thermal runaway. Furthermore, telematics units forward unfiltered raw messages directly to cloud servers, corrupting remote monitoring dashboards.</w:t>
      </w:r>
    </w:p>
    <w:p>
      <w:pPr>
        <w:spacing w:after="120" w:line="276" w:lineRule="auto"/>
      </w:pPr>
      <w:r>
        <w:rPr>
          <w:rFonts w:ascii="Times New Roman" w:hAnsi="Times New Roman"/>
          <w:i w:val="0"/>
          <w:sz w:val="22"/>
        </w:rPr>
        <w:t>Prior art solutions treat intrusion detection, battery state estimation, and telematics as isolated subsystems. Prior art systems fail to provide an integrated self-healing system where a communication trust assessment mathematically couples to state estimation while actively triggering cell reconfiguration, predictive thermal control, and digital twin model synchronization.</w:t>
      </w:r>
    </w:p>
    <w:p>
      <w:pPr>
        <w:spacing w:before="280" w:after="80"/>
      </w:pPr>
      <w:r>
        <w:rPr>
          <w:rFonts w:ascii="Times New Roman" w:hAnsi="Times New Roman"/>
          <w:b/>
          <w:color w:val="003366"/>
          <w:sz w:val="24"/>
        </w:rPr>
        <w:t>6. SUMMARY OF THE INVENTION</w:t>
      </w:r>
    </w:p>
    <w:p>
      <w:pPr>
        <w:spacing w:after="120" w:line="276" w:lineRule="auto"/>
      </w:pPr>
      <w:r>
        <w:rPr>
          <w:rFonts w:ascii="Times New Roman" w:hAnsi="Times New Roman"/>
          <w:i w:val="0"/>
          <w:sz w:val="22"/>
        </w:rPr>
        <w:t>The present invention addresses prior art limitations by providing a 7-layer self-healing battery management system and method wherein a communication trust assessment dynamically modifies battery state estimation, synchronizes with a digital twin virtual model, and drives active recovery control decisions.</w:t>
      </w:r>
    </w:p>
    <w:p>
      <w:pPr>
        <w:spacing w:after="120" w:line="276" w:lineRule="auto"/>
      </w:pPr>
      <w:r>
        <w:rPr>
          <w:rFonts w:ascii="Times New Roman" w:hAnsi="Times New Roman"/>
          <w:i w:val="0"/>
          <w:sz w:val="22"/>
        </w:rPr>
        <w:t>According to a primary aspect of the invention, an anomaly detection module evaluates incoming communication frames to compute an anomaly score representing a communication trust assessment.</w:t>
      </w:r>
    </w:p>
    <w:p>
      <w:pPr>
        <w:spacing w:after="120" w:line="276" w:lineRule="auto"/>
      </w:pPr>
      <w:r>
        <w:rPr>
          <w:rFonts w:ascii="Times New Roman" w:hAnsi="Times New Roman"/>
          <w:i w:val="0"/>
          <w:sz w:val="22"/>
        </w:rPr>
        <w:t>According to another aspect of the invention, a self-healing decision engine continuously evaluates anomaly scores, cell imbalances, temperature, and digital twin model deviations to execute active recovery decisions comprising reducing charging current, disabling cell balancing, entering limp-home mode, or isolating affected battery modules.</w:t>
      </w:r>
    </w:p>
    <w:p>
      <w:pPr>
        <w:spacing w:after="120" w:line="276" w:lineRule="auto"/>
      </w:pPr>
      <w:r>
        <w:rPr>
          <w:rFonts w:ascii="Times New Roman" w:hAnsi="Times New Roman"/>
          <w:i w:val="0"/>
          <w:sz w:val="22"/>
        </w:rPr>
        <w:t>According to another aspect of the invention, a digital twin module maintains a virtual battery model predicting state of health, internal resistance, and thermal rise, comparing virtual predictions against live physical battery measurements to detect abnormal degradation or active cyber attacks.</w:t>
      </w:r>
    </w:p>
    <w:p>
      <w:pPr>
        <w:spacing w:before="280" w:after="80"/>
      </w:pPr>
      <w:r>
        <w:rPr>
          <w:rFonts w:ascii="Times New Roman" w:hAnsi="Times New Roman"/>
          <w:b/>
          <w:color w:val="003366"/>
          <w:sz w:val="24"/>
        </w:rPr>
        <w:t>7. DETAILED DESCRIPTION OF PREFERRED EMBODIMENTS</w:t>
      </w:r>
    </w:p>
    <w:p>
      <w:pPr>
        <w:spacing w:after="120" w:line="276" w:lineRule="auto"/>
      </w:pPr>
      <w:r>
        <w:rPr>
          <w:rFonts w:ascii="Times New Roman" w:hAnsi="Times New Roman"/>
          <w:i w:val="0"/>
          <w:sz w:val="22"/>
        </w:rPr>
        <w:t>The following detailed description illustrates exemplary, non-limiting embodiments of the present invention with explicit reference to the accompanying drawing FIG. 1.</w:t>
      </w:r>
    </w:p>
    <w:p>
      <w:pPr>
        <w:spacing w:after="120" w:line="276" w:lineRule="auto"/>
      </w:pPr>
      <w:r>
        <w:rPr>
          <w:rFonts w:ascii="Times New Roman" w:hAnsi="Times New Roman"/>
          <w:i w:val="0"/>
          <w:sz w:val="22"/>
        </w:rPr>
        <w:t>As illustrated in FIG. 1, the overall system architecture comprises an EV Battery Pack (exemplified as a 16S Li-ion pack of 57.6V nominal voltage), a battery monitoring integrated circuit (such as a Texas Instruments BQ76920 AFE IC configured for cell voltage sensing, cell balancing, NTC temperature sensing, and current sensing), a primary microcontroller (such as an Espressif ESP32 dual-core processor executing security &amp; AI on Core 0 and state estimation &amp; control on Core 1), an internal communication bus (500 kbps CAN with 120-ohm termination), an ESP32 Attacker Node, an ESP32 TCU Node Gateway, and a Cloud Dashboard.</w:t>
      </w:r>
    </w:p>
    <w:p>
      <w:pPr>
        <w:spacing w:after="120" w:line="276" w:lineRule="auto"/>
      </w:pPr>
      <w:r>
        <w:rPr>
          <w:rFonts w:ascii="Times New Roman" w:hAnsi="Times New Roman"/>
          <w:i w:val="0"/>
          <w:sz w:val="22"/>
        </w:rPr>
        <w:t>As shown in FIG. 1, the 7-Layer Intelligent Engine incorporates Layer 1 Secure BLE Access (ECDH + AES-128), Layer 2 HMAC Command Authentication (HMAC-SHA256, Replay Protection), Layer 3 ML CAN Intrusion Detection (Random Forest ML-IDS computing Anomaly Score S from 0.0 to 1.0), Layer 4 Adaptive EKF Trust Modulation (Dynamic R_eff scaling R_new = R_base * exp(10 * S)), Layer 5 Self-Healing Decision Engine, Layer 6 Cell Reconfiguration &amp; Balancing, and Layer 7 Secure TCU Cloud Gateway (MQTT over TLS).</w:t>
      </w:r>
    </w:p>
    <w:p>
      <w:pPr>
        <w:spacing w:after="120" w:line="276" w:lineRule="auto"/>
      </w:pPr>
      <w:r>
        <w:rPr>
          <w:rFonts w:ascii="Times New Roman" w:hAnsi="Times New Roman"/>
          <w:i w:val="0"/>
          <w:sz w:val="22"/>
        </w:rPr>
        <w:t>As illustrated in FIG. 1, the Digital Twin virtual battery model receives real battery data and provides insights, predicting State of Health (82% SoH prediction), internal resistance growth (+12.4% R_int), capacity fade (-8.7%), and thermal rise (43.2 °C predicted for the next 10 minutes).</w:t>
      </w:r>
    </w:p>
    <w:p>
      <w:pPr>
        <w:spacing w:after="120" w:line="276" w:lineRule="auto"/>
      </w:pPr>
      <w:r>
        <w:rPr>
          <w:rFonts w:ascii="Times New Roman" w:hAnsi="Times New Roman"/>
          <w:i w:val="0"/>
          <w:sz w:val="22"/>
        </w:rPr>
        <w:t>As illustrated in FIG. 1, the Cloud Dashboard displays real-time telemetry (55.8 V, 12.4 A, Trust Score 0.86 HIGH, Anomaly Score 0.12 NORMAL, Remaining Useful Life 4.2 Years), while logging forensic events (e.g., [10:24:15] DoS Attack Detected -&gt; [10:24:16] Frame Dropped -&gt; [10:24:17] Action: Reduce Charging Current -&gt; [10:24:18] Cell-7 Suspected - Isolation Simulated -&gt; [10:24:20] Event Uploaded to Cloud).</w:t>
      </w:r>
    </w:p>
    <w:p>
      <w:pPr>
        <w:spacing w:before="280" w:after="80"/>
      </w:pPr>
      <w:r>
        <w:rPr>
          <w:rFonts w:ascii="Times New Roman" w:hAnsi="Times New Roman"/>
          <w:b/>
          <w:color w:val="003366"/>
          <w:sz w:val="24"/>
        </w:rPr>
        <w:t>8. HARDWARE IMPLEMENTATION &amp; BENCH TEST STATUS</w:t>
      </w:r>
    </w:p>
    <w:p>
      <w:pPr>
        <w:spacing w:after="120" w:line="276" w:lineRule="auto"/>
      </w:pPr>
      <w:r>
        <w:rPr>
          <w:rFonts w:ascii="Times New Roman" w:hAnsi="Times New Roman"/>
          <w:b/>
          <w:sz w:val="22"/>
        </w:rPr>
        <w:t xml:space="preserve">NOTICE: </w:t>
      </w:r>
      <w:r>
        <w:rPr>
          <w:rFonts w:ascii="Times New Roman" w:hAnsi="Times New Roman"/>
          <w:i w:val="0"/>
          <w:sz w:val="22"/>
        </w:rPr>
        <w:t>[ PHYSICAL HARDWARE BENCH TEST STATUS: TO BE TESTED / BENCH PENDING ]</w:t>
      </w:r>
    </w:p>
    <w:p>
      <w:pPr>
        <w:spacing w:after="120" w:line="276" w:lineRule="auto"/>
      </w:pPr>
      <w:r>
        <w:rPr>
          <w:rFonts w:ascii="Times New Roman" w:hAnsi="Times New Roman"/>
          <w:i w:val="0"/>
          <w:sz w:val="22"/>
        </w:rPr>
        <w:t>The physical 3-node hardware prototype (BMS Master microcontroller, Attacker microcontroller, TCU Gateway microcontroller, battery monitoring IC, bus transceivers, and 2-layer custom PCB) has been fully designed and simulation-verified. Physical oscilloscope power consumption, logic analyzer bus timing, and thermal profiling are designated as 'To Be Tested' in physical hardware bench trials.</w:t>
      </w:r>
    </w:p>
    <w:p>
      <w:pPr>
        <w:spacing w:before="280" w:after="80"/>
      </w:pPr>
      <w:r>
        <w:rPr>
          <w:rFonts w:ascii="Times New Roman" w:hAnsi="Times New Roman"/>
          <w:b/>
          <w:color w:val="003366"/>
          <w:sz w:val="24"/>
        </w:rPr>
        <w:t>9. CLAIMS (PROVISIONAL)</w:t>
      </w:r>
    </w:p>
    <w:p>
      <w:pPr>
        <w:spacing w:after="120" w:line="276" w:lineRule="auto"/>
      </w:pPr>
      <w:r>
        <w:rPr>
          <w:rFonts w:ascii="Times New Roman" w:hAnsi="Times New Roman"/>
          <w:i w:val="0"/>
          <w:sz w:val="22"/>
        </w:rPr>
        <w:t>WE CLAIM:</w:t>
      </w:r>
    </w:p>
    <w:p>
      <w:pPr>
        <w:spacing w:after="120" w:line="276" w:lineRule="auto"/>
      </w:pPr>
      <w:r>
        <w:rPr>
          <w:rFonts w:ascii="Times New Roman" w:hAnsi="Times New Roman"/>
          <w:i w:val="0"/>
          <w:sz w:val="22"/>
        </w:rPr>
        <w:t>1. A battery management system comprising:</w:t>
      </w:r>
    </w:p>
    <w:p>
      <w:pPr>
        <w:spacing w:after="120" w:line="276" w:lineRule="auto"/>
        <w:ind w:left="432"/>
      </w:pPr>
      <w:r>
        <w:rPr>
          <w:rFonts w:ascii="Times New Roman" w:hAnsi="Times New Roman"/>
          <w:i w:val="0"/>
          <w:sz w:val="22"/>
        </w:rPr>
        <w:t>a battery monitoring module configured to measure battery parameters;</w:t>
      </w:r>
    </w:p>
    <w:p>
      <w:pPr>
        <w:spacing w:after="120" w:line="276" w:lineRule="auto"/>
        <w:ind w:left="432"/>
      </w:pPr>
      <w:r>
        <w:rPr>
          <w:rFonts w:ascii="Times New Roman" w:hAnsi="Times New Roman"/>
          <w:i w:val="0"/>
          <w:sz w:val="22"/>
        </w:rPr>
        <w:t>a primary controller configured to receive communication frames over an internal vehicle bus;</w:t>
      </w:r>
    </w:p>
    <w:p>
      <w:pPr>
        <w:spacing w:after="120" w:line="276" w:lineRule="auto"/>
        <w:ind w:left="432"/>
      </w:pPr>
      <w:r>
        <w:rPr>
          <w:rFonts w:ascii="Times New Roman" w:hAnsi="Times New Roman"/>
          <w:i w:val="0"/>
          <w:sz w:val="22"/>
        </w:rPr>
        <w:t>an anomaly detection module configured to evaluate communication frames and output an anomaly score representing a communication trust assessment;</w:t>
      </w:r>
    </w:p>
    <w:p>
      <w:pPr>
        <w:spacing w:after="120" w:line="276" w:lineRule="auto"/>
        <w:ind w:left="432"/>
      </w:pPr>
      <w:r>
        <w:rPr>
          <w:rFonts w:ascii="Times New Roman" w:hAnsi="Times New Roman"/>
          <w:i w:val="0"/>
          <w:sz w:val="22"/>
        </w:rPr>
        <w:t>a battery state estimator configured to estimate a state of a battery, wherein said measurement covariance is dynamically adjusted according to a monotonic function of said anomaly score; and</w:t>
      </w:r>
    </w:p>
    <w:p>
      <w:pPr>
        <w:spacing w:after="120" w:line="276" w:lineRule="auto"/>
        <w:ind w:left="432"/>
      </w:pPr>
      <w:r>
        <w:rPr>
          <w:rFonts w:ascii="Times New Roman" w:hAnsi="Times New Roman"/>
          <w:i w:val="0"/>
          <w:sz w:val="22"/>
        </w:rPr>
        <w:t>a self-healing decision engine configured to evaluate said communication trust assessment and execute active recovery control decisions to protect said battery system.</w:t>
      </w:r>
    </w:p>
    <w:p>
      <w:pPr>
        <w:spacing w:after="120" w:line="276" w:lineRule="auto"/>
      </w:pPr>
      <w:r>
        <w:rPr>
          <w:rFonts w:ascii="Times New Roman" w:hAnsi="Times New Roman"/>
          <w:i w:val="0"/>
          <w:sz w:val="22"/>
        </w:rPr>
        <w:t>2. The battery management system of claim 1, further comprising a digital twin module configured to maintain a virtual battery model synchronized with live battery state measurements, wherein deviations between said virtual battery model and live battery measurements inform said self-healing decision engine.</w:t>
      </w:r>
    </w:p>
    <w:p>
      <w:pPr>
        <w:spacing w:after="120" w:line="276" w:lineRule="auto"/>
      </w:pPr>
      <w:r>
        <w:rPr>
          <w:rFonts w:ascii="Times New Roman" w:hAnsi="Times New Roman"/>
          <w:i w:val="0"/>
          <w:sz w:val="22"/>
        </w:rPr>
        <w:t>3. The battery management system of claim 1, wherein said active recovery control decisions executed by said self-healing decision engine comprise at least one of: reducing battery charging current, disabling cell balancing, entering a limp-home operating mode, and isolating an affected battery module.</w:t>
      </w:r>
    </w:p>
    <w:p>
      <w:pPr>
        <w:spacing w:after="120" w:line="276" w:lineRule="auto"/>
      </w:pPr>
      <w:r>
        <w:rPr>
          <w:rFonts w:ascii="Times New Roman" w:hAnsi="Times New Roman"/>
          <w:i w:val="0"/>
          <w:sz w:val="22"/>
        </w:rPr>
        <w:t>4. The battery management system of claim 1, further comprising an adaptive thermal management module configured to predict thermal rise and proactively attenuate battery current prior to reaching thermal safety limits.</w:t>
      </w:r>
    </w:p>
    <w:p>
      <w:pPr>
        <w:spacing w:after="120" w:line="276" w:lineRule="auto"/>
      </w:pPr>
      <w:r>
        <w:rPr>
          <w:rFonts w:ascii="Times New Roman" w:hAnsi="Times New Roman"/>
          <w:i w:val="0"/>
          <w:sz w:val="22"/>
        </w:rPr>
        <w:t>5. The battery management system of claim 1, further comprising a telematics gateway configured to receive communication frames from said internal vehicle bus, wherein said telematics gateway selectively filters telemetry based on said anomaly score and transmits self-healing status logs to a remote server.</w:t>
      </w:r>
    </w:p>
    <w:p>
      <w:pPr>
        <w:spacing w:after="120" w:line="276" w:lineRule="auto"/>
      </w:pPr>
      <w:r>
        <w:rPr>
          <w:rFonts w:ascii="Times New Roman" w:hAnsi="Times New Roman"/>
          <w:i w:val="0"/>
          <w:sz w:val="22"/>
        </w:rPr>
        <w:t>6. The battery management system of claim 1, wherein said primary controller comprises a multi-core microcontroller, wherein a first core executes said anomaly detection module and a second core executes said battery state estimator.</w:t>
      </w:r>
    </w:p>
    <w:p>
      <w:pPr>
        <w:spacing w:after="120" w:line="276" w:lineRule="auto"/>
      </w:pPr>
      <w:r>
        <w:rPr>
          <w:rFonts w:ascii="Times New Roman" w:hAnsi="Times New Roman"/>
          <w:i w:val="0"/>
          <w:sz w:val="22"/>
        </w:rPr>
        <w:t>7. The battery management system of claim 1, wherein when said anomaly score indicates an active communication attack, a gain of said battery state estimator approaches zero, relying on internal model state prediction.</w:t>
      </w:r>
    </w:p>
    <w:p>
      <w:pPr>
        <w:spacing w:after="120" w:line="276" w:lineRule="auto"/>
      </w:pPr>
      <w:r>
        <w:rPr>
          <w:rFonts w:ascii="Times New Roman" w:hAnsi="Times New Roman"/>
          <w:i w:val="0"/>
          <w:sz w:val="22"/>
        </w:rPr>
        <w:t>8. The battery management system of claim 5, wherein said telematics gateway transmits formatted JSON telemetry comprising battery state of charge, state of health, anomaly score, trust score, self-healing action, and thermal predictions to an MQTT message broker.</w:t>
      </w:r>
    </w:p>
    <w:p>
      <w:pPr>
        <w:spacing w:after="120" w:line="276" w:lineRule="auto"/>
      </w:pPr>
      <w:r>
        <w:rPr>
          <w:rFonts w:ascii="Times New Roman" w:hAnsi="Times New Roman"/>
          <w:i w:val="0"/>
          <w:sz w:val="22"/>
        </w:rPr>
        <w:t>9. The battery management system of claim 1, further comprising a command authorization module configured to enforce privilege separation between read-only telemetry requests and critical battery control commands using single-use nonces and cryptographic signatures.</w:t>
      </w:r>
    </w:p>
    <w:p>
      <w:pPr>
        <w:spacing w:after="120" w:line="276" w:lineRule="auto"/>
      </w:pPr>
      <w:r>
        <w:rPr>
          <w:rFonts w:ascii="Times New Roman" w:hAnsi="Times New Roman"/>
          <w:i w:val="0"/>
          <w:sz w:val="22"/>
        </w:rPr>
        <w:t>10. A method for managing a battery system, comprising:</w:t>
        <w:br/>
        <w:t xml:space="preserve">    receiving communication frames over an internal bus;</w:t>
        <w:br/>
        <w:t xml:space="preserve">    computing an anomaly score representing a communication trust assessment;</w:t>
        <w:br/>
        <w:t xml:space="preserve">    dynamically adjusting a measurement covariance of a battery state estimator as a monotonic function of said anomaly score;</w:t>
        <w:br/>
        <w:t xml:space="preserve">    synchronizing live battery measurements with a digital twin virtual model; and</w:t>
        <w:br/>
        <w:t xml:space="preserve">    executing active self-healing recovery control decisions comprising at least one of reducing charging current, disabling cell balancing, and isolating an affected battery module.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