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rPr>
        <w:t>数字艺术与设计学院教师课程教学质量同行评价表</w:t>
      </w:r>
    </w:p>
    <w:p>
      <w:pPr>
        <w:jc w:val="center"/>
      </w:pPr>
      <w:r>
        <w:rPr>
          <w:rFonts w:ascii="Arial" w:hAnsi="Arial" w:eastAsia="Microsoft YaHei"/>
          <w:sz w:val="22"/>
        </w:rPr>
        <w:t>适用于10分钟课程说课展示；20项×5分，满分100分</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701"/>
            <w:vAlign w:val="center"/>
          </w:tcPr>
          <w:p>
            <w:pPr>
              <w:jc w:val="center"/>
            </w:pPr>
            <w:r/>
            <w:r>
              <w:rPr>
                <w:rFonts w:ascii="Arial" w:hAnsi="Arial" w:eastAsia="Microsoft YaHei"/>
                <w:b/>
                <w:sz w:val="18"/>
              </w:rPr>
              <w:t>参评教师</w:t>
            </w:r>
          </w:p>
        </w:tc>
        <w:tc>
          <w:tcPr>
            <w:tcW w:type="dxa" w:w="2835"/>
            <w:vAlign w:val="center"/>
          </w:tcPr>
          <w:p>
            <w:pPr>
              <w:jc w:val="left"/>
            </w:pPr>
            <w:r/>
            <w:r>
              <w:rPr>
                <w:rFonts w:ascii="Arial" w:hAnsi="Arial" w:eastAsia="Microsoft YaHei"/>
                <w:b w:val="0"/>
                <w:sz w:val="18"/>
              </w:rPr>
              <w:t>____________</w:t>
            </w:r>
          </w:p>
        </w:tc>
        <w:tc>
          <w:tcPr>
            <w:tcW w:type="dxa" w:w="1701"/>
            <w:vAlign w:val="center"/>
          </w:tcPr>
          <w:p>
            <w:pPr>
              <w:jc w:val="center"/>
            </w:pPr>
            <w:r/>
            <w:r>
              <w:rPr>
                <w:rFonts w:ascii="Arial" w:hAnsi="Arial" w:eastAsia="Microsoft YaHei"/>
                <w:b/>
                <w:sz w:val="18"/>
              </w:rPr>
              <w:t>参评课程</w:t>
            </w:r>
          </w:p>
        </w:tc>
        <w:tc>
          <w:tcPr>
            <w:tcW w:type="dxa" w:w="2835"/>
            <w:vAlign w:val="center"/>
          </w:tcPr>
          <w:p>
            <w:pPr>
              <w:jc w:val="left"/>
            </w:pPr>
            <w:r/>
            <w:r>
              <w:rPr>
                <w:rFonts w:ascii="Arial" w:hAnsi="Arial" w:eastAsia="Microsoft YaHei"/>
                <w:b w:val="0"/>
                <w:sz w:val="18"/>
              </w:rPr>
              <w:t>____________</w:t>
            </w:r>
          </w:p>
        </w:tc>
      </w:tr>
      <w:tr>
        <w:tc>
          <w:tcPr>
            <w:tcW w:type="dxa" w:w="1701"/>
            <w:vAlign w:val="center"/>
          </w:tcPr>
          <w:p>
            <w:pPr>
              <w:jc w:val="center"/>
            </w:pPr>
            <w:r/>
            <w:r>
              <w:rPr>
                <w:rFonts w:ascii="Arial" w:hAnsi="Arial" w:eastAsia="Microsoft YaHei"/>
                <w:b/>
                <w:sz w:val="18"/>
              </w:rPr>
              <w:t>所属系部</w:t>
            </w:r>
          </w:p>
        </w:tc>
        <w:tc>
          <w:tcPr>
            <w:tcW w:type="dxa" w:w="2835"/>
            <w:vAlign w:val="center"/>
          </w:tcPr>
          <w:p>
            <w:pPr>
              <w:jc w:val="left"/>
            </w:pPr>
            <w:r/>
            <w:r>
              <w:rPr>
                <w:rFonts w:ascii="Arial" w:hAnsi="Arial" w:eastAsia="Microsoft YaHei"/>
                <w:b w:val="0"/>
                <w:sz w:val="18"/>
              </w:rPr>
              <w:t>____________</w:t>
            </w:r>
          </w:p>
        </w:tc>
        <w:tc>
          <w:tcPr>
            <w:tcW w:type="dxa" w:w="1701"/>
            <w:vAlign w:val="center"/>
          </w:tcPr>
          <w:p>
            <w:pPr>
              <w:jc w:val="center"/>
            </w:pPr>
            <w:r/>
            <w:r>
              <w:rPr>
                <w:rFonts w:ascii="Arial" w:hAnsi="Arial" w:eastAsia="Microsoft YaHei"/>
                <w:b/>
                <w:sz w:val="18"/>
              </w:rPr>
              <w:t>评价日期</w:t>
            </w:r>
          </w:p>
        </w:tc>
        <w:tc>
          <w:tcPr>
            <w:tcW w:type="dxa" w:w="2835"/>
            <w:vAlign w:val="center"/>
          </w:tcPr>
          <w:p>
            <w:pPr>
              <w:jc w:val="left"/>
            </w:pPr>
            <w:r/>
            <w:r>
              <w:rPr>
                <w:rFonts w:ascii="Arial" w:hAnsi="Arial" w:eastAsia="Microsoft YaHei"/>
                <w:b w:val="0"/>
                <w:sz w:val="18"/>
              </w:rPr>
              <w:t>______年____月____日</w:t>
            </w:r>
          </w:p>
        </w:tc>
      </w:tr>
      <w:tr>
        <w:tc>
          <w:tcPr>
            <w:tcW w:type="dxa" w:w="1701"/>
            <w:vAlign w:val="center"/>
          </w:tcPr>
          <w:p>
            <w:pPr>
              <w:jc w:val="center"/>
            </w:pPr>
            <w:r/>
            <w:r>
              <w:rPr>
                <w:rFonts w:ascii="Arial" w:hAnsi="Arial" w:eastAsia="Microsoft YaHei"/>
                <w:b/>
                <w:sz w:val="18"/>
              </w:rPr>
              <w:t>评价人</w:t>
            </w:r>
          </w:p>
        </w:tc>
        <w:tc>
          <w:tcPr>
            <w:tcW w:type="dxa" w:w="2835"/>
            <w:vAlign w:val="center"/>
          </w:tcPr>
          <w:p>
            <w:pPr>
              <w:jc w:val="left"/>
            </w:pPr>
            <w:r/>
            <w:r>
              <w:rPr>
                <w:rFonts w:ascii="Arial" w:hAnsi="Arial" w:eastAsia="Microsoft YaHei"/>
                <w:b w:val="0"/>
                <w:sz w:val="18"/>
              </w:rPr>
              <w:t>____________</w:t>
            </w:r>
          </w:p>
        </w:tc>
        <w:tc>
          <w:tcPr>
            <w:tcW w:type="dxa" w:w="1701"/>
            <w:vAlign w:val="center"/>
          </w:tcPr>
          <w:p>
            <w:pPr>
              <w:jc w:val="center"/>
            </w:pPr>
            <w:r/>
            <w:r>
              <w:rPr>
                <w:rFonts w:ascii="Arial" w:hAnsi="Arial" w:eastAsia="Microsoft YaHei"/>
                <w:b/>
                <w:sz w:val="18"/>
              </w:rPr>
              <w:t>是否本人课程</w:t>
            </w:r>
          </w:p>
        </w:tc>
        <w:tc>
          <w:tcPr>
            <w:tcW w:type="dxa" w:w="2835"/>
            <w:vAlign w:val="center"/>
          </w:tcPr>
          <w:p>
            <w:pPr>
              <w:jc w:val="left"/>
            </w:pPr>
            <w:r/>
            <w:r>
              <w:rPr>
                <w:rFonts w:ascii="Arial" w:hAnsi="Arial" w:eastAsia="Microsoft YaHei"/>
                <w:b w:val="0"/>
                <w:sz w:val="18"/>
              </w:rPr>
              <w:t>□否  □是（本人不得评分）</w:t>
            </w:r>
          </w:p>
        </w:tc>
      </w:tr>
    </w:tbl>
    <w:p/>
    <w:p>
      <w:pPr>
        <w:pStyle w:val="Heading1"/>
      </w:pPr>
      <w:r>
        <w:t>一、评价说明</w:t>
      </w:r>
    </w:p>
    <w:p>
      <w:pPr>
        <w:spacing w:after="60"/>
      </w:pPr>
      <w:r>
        <w:t>本表采用5分制李克特量表。每项1—5分，共20项，满分100分。</w:t>
      </w:r>
    </w:p>
    <w:p>
      <w:pPr>
        <w:spacing w:after="60"/>
      </w:pPr>
      <w:r>
        <w:t>评分含义：5分=完全符合/表现突出；4分=比较符合/表现较好；3分=基本符合/一般达成；2分=不太符合/存在明显不足；1分=完全不符合/严重不足。</w:t>
      </w:r>
    </w:p>
    <w:p>
      <w:pPr>
        <w:spacing w:after="60"/>
      </w:pPr>
      <w:r>
        <w:t>请评价人依据实际观察、课程材料或学习体验独立评分，避免人情分、印象分和无依据评分。</w:t>
      </w:r>
    </w:p>
    <w:p>
      <w:pPr>
        <w:pStyle w:val="Heading1"/>
      </w:pPr>
      <w:r>
        <w:t>二、评价指标与评分表</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624"/>
            <w:vAlign w:val="center"/>
            <w:shd w:fill="D9EAF7"/>
          </w:tcPr>
          <w:p>
            <w:pPr>
              <w:jc w:val="center"/>
            </w:pPr>
            <w:r/>
            <w:r>
              <w:rPr>
                <w:rFonts w:ascii="Arial" w:hAnsi="Arial" w:eastAsia="Microsoft YaHei"/>
                <w:b/>
                <w:sz w:val="17"/>
              </w:rPr>
              <w:t>序号</w:t>
            </w:r>
          </w:p>
        </w:tc>
        <w:tc>
          <w:tcPr>
            <w:tcW w:type="dxa" w:w="1474"/>
            <w:vAlign w:val="center"/>
            <w:shd w:fill="D9EAF7"/>
          </w:tcPr>
          <w:p>
            <w:pPr>
              <w:jc w:val="center"/>
            </w:pPr>
            <w:r/>
            <w:r>
              <w:rPr>
                <w:rFonts w:ascii="Arial" w:hAnsi="Arial" w:eastAsia="Microsoft YaHei"/>
                <w:b/>
                <w:sz w:val="17"/>
              </w:rPr>
              <w:t>评价维度</w:t>
            </w:r>
          </w:p>
        </w:tc>
        <w:tc>
          <w:tcPr>
            <w:tcW w:type="dxa" w:w="2835"/>
            <w:vAlign w:val="center"/>
            <w:shd w:fill="D9EAF7"/>
          </w:tcPr>
          <w:p>
            <w:pPr>
              <w:jc w:val="center"/>
            </w:pPr>
            <w:r/>
            <w:r>
              <w:rPr>
                <w:rFonts w:ascii="Arial" w:hAnsi="Arial" w:eastAsia="Microsoft YaHei"/>
                <w:b/>
                <w:sz w:val="17"/>
              </w:rPr>
              <w:t>评价指标</w:t>
            </w:r>
          </w:p>
        </w:tc>
        <w:tc>
          <w:tcPr>
            <w:tcW w:type="dxa" w:w="3628"/>
            <w:vAlign w:val="center"/>
            <w:shd w:fill="D9EAF7"/>
          </w:tcPr>
          <w:p>
            <w:pPr>
              <w:jc w:val="center"/>
            </w:pPr>
            <w:r/>
            <w:r>
              <w:rPr>
                <w:rFonts w:ascii="Arial" w:hAnsi="Arial" w:eastAsia="Microsoft YaHei"/>
                <w:b/>
                <w:sz w:val="17"/>
              </w:rPr>
              <w:t>评分要点</w:t>
            </w:r>
          </w:p>
        </w:tc>
        <w:tc>
          <w:tcPr>
            <w:tcW w:type="dxa" w:w="624"/>
            <w:vAlign w:val="center"/>
            <w:shd w:fill="D9EAF7"/>
          </w:tcPr>
          <w:p>
            <w:pPr>
              <w:jc w:val="center"/>
            </w:pPr>
            <w:r/>
            <w:r>
              <w:rPr>
                <w:rFonts w:ascii="Arial" w:hAnsi="Arial" w:eastAsia="Microsoft YaHei"/>
                <w:b/>
                <w:sz w:val="17"/>
              </w:rPr>
              <w:t>分值</w:t>
            </w:r>
          </w:p>
        </w:tc>
        <w:tc>
          <w:tcPr>
            <w:tcW w:type="dxa" w:w="680"/>
            <w:vAlign w:val="center"/>
            <w:shd w:fill="D9EAF7"/>
          </w:tcPr>
          <w:p>
            <w:pPr>
              <w:jc w:val="center"/>
            </w:pPr>
            <w:r/>
            <w:r>
              <w:rPr>
                <w:rFonts w:ascii="Arial" w:hAnsi="Arial" w:eastAsia="Microsoft YaHei"/>
                <w:b/>
                <w:sz w:val="17"/>
              </w:rPr>
              <w:t>得分</w:t>
            </w:r>
          </w:p>
        </w:tc>
      </w:tr>
      <w:tr>
        <w:tc>
          <w:tcPr>
            <w:tcW w:type="dxa" w:w="624"/>
            <w:vAlign w:val="center"/>
          </w:tcPr>
          <w:p>
            <w:pPr>
              <w:jc w:val="center"/>
            </w:pPr>
            <w:r/>
            <w:r>
              <w:rPr>
                <w:rFonts w:ascii="Arial" w:hAnsi="Arial" w:eastAsia="Microsoft YaHei"/>
                <w:b w:val="0"/>
                <w:sz w:val="17"/>
              </w:rPr>
              <w:t>1</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课程定位清晰</w:t>
            </w:r>
          </w:p>
        </w:tc>
        <w:tc>
          <w:tcPr>
            <w:tcW w:type="dxa" w:w="3628"/>
            <w:vAlign w:val="center"/>
          </w:tcPr>
          <w:p>
            <w:pPr>
              <w:jc w:val="left"/>
            </w:pPr>
            <w:r/>
            <w:r>
              <w:rPr>
                <w:rFonts w:ascii="Arial" w:hAnsi="Arial" w:eastAsia="Microsoft YaHei"/>
                <w:b w:val="0"/>
                <w:sz w:val="16"/>
              </w:rPr>
              <w:t>10分钟说课能清楚说明课程在专业培养方案中的定位及对毕业要求的支撑。</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2</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能力目标高阶</w:t>
            </w:r>
          </w:p>
        </w:tc>
        <w:tc>
          <w:tcPr>
            <w:tcW w:type="dxa" w:w="3628"/>
            <w:vAlign w:val="center"/>
          </w:tcPr>
          <w:p>
            <w:pPr>
              <w:jc w:val="left"/>
            </w:pPr>
            <w:r/>
            <w:r>
              <w:rPr>
                <w:rFonts w:ascii="Arial" w:hAnsi="Arial" w:eastAsia="Microsoft YaHei"/>
                <w:b w:val="0"/>
                <w:sz w:val="16"/>
              </w:rPr>
              <w:t>课程目标体现分析、判断、设计、解决复杂问题等高阶能力培养，而非停留在知识讲授。</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3</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课程思政融入自然</w:t>
            </w:r>
          </w:p>
        </w:tc>
        <w:tc>
          <w:tcPr>
            <w:tcW w:type="dxa" w:w="3628"/>
            <w:vAlign w:val="center"/>
          </w:tcPr>
          <w:p>
            <w:pPr>
              <w:jc w:val="left"/>
            </w:pPr>
            <w:r/>
            <w:r>
              <w:rPr>
                <w:rFonts w:ascii="Arial" w:hAnsi="Arial" w:eastAsia="Microsoft YaHei"/>
                <w:b w:val="0"/>
                <w:sz w:val="16"/>
              </w:rPr>
              <w:t>能结合专业内容自然融入价值引领、职业伦理、文化自信或社会责任。</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4</w:t>
            </w:r>
          </w:p>
        </w:tc>
        <w:tc>
          <w:tcPr>
            <w:tcW w:type="dxa" w:w="1474"/>
            <w:vAlign w:val="center"/>
          </w:tcPr>
          <w:p>
            <w:pPr>
              <w:jc w:val="center"/>
            </w:pPr>
            <w:r/>
            <w:r>
              <w:rPr>
                <w:rFonts w:ascii="Arial" w:hAnsi="Arial" w:eastAsia="Microsoft YaHei"/>
                <w:b w:val="0"/>
                <w:sz w:val="16"/>
              </w:rPr>
              <w:t>目标与思政</w:t>
            </w:r>
          </w:p>
        </w:tc>
        <w:tc>
          <w:tcPr>
            <w:tcW w:type="dxa" w:w="2835"/>
            <w:vAlign w:val="center"/>
          </w:tcPr>
          <w:p>
            <w:pPr>
              <w:jc w:val="left"/>
            </w:pPr>
            <w:r/>
            <w:r>
              <w:rPr>
                <w:rFonts w:ascii="Arial" w:hAnsi="Arial" w:eastAsia="Microsoft YaHei"/>
                <w:b w:val="0"/>
                <w:sz w:val="16"/>
              </w:rPr>
              <w:t>目标与评价一致</w:t>
            </w:r>
          </w:p>
        </w:tc>
        <w:tc>
          <w:tcPr>
            <w:tcW w:type="dxa" w:w="3628"/>
            <w:vAlign w:val="center"/>
          </w:tcPr>
          <w:p>
            <w:pPr>
              <w:jc w:val="left"/>
            </w:pPr>
            <w:r/>
            <w:r>
              <w:rPr>
                <w:rFonts w:ascii="Arial" w:hAnsi="Arial" w:eastAsia="Microsoft YaHei"/>
                <w:b w:val="0"/>
                <w:sz w:val="16"/>
              </w:rPr>
              <w:t>课程目标、教学活动和考核方式之间逻辑一致，能够相互支撑。</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5</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内容先进实用</w:t>
            </w:r>
          </w:p>
        </w:tc>
        <w:tc>
          <w:tcPr>
            <w:tcW w:type="dxa" w:w="3628"/>
            <w:vAlign w:val="center"/>
          </w:tcPr>
          <w:p>
            <w:pPr>
              <w:jc w:val="left"/>
            </w:pPr>
            <w:r/>
            <w:r>
              <w:rPr>
                <w:rFonts w:ascii="Arial" w:hAnsi="Arial" w:eastAsia="Microsoft YaHei"/>
                <w:b w:val="0"/>
                <w:sz w:val="16"/>
              </w:rPr>
              <w:t>教学内容能够体现学科前沿、行业发展、岗位需求或真实工作流程。</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6</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项目/案例导向</w:t>
            </w:r>
          </w:p>
        </w:tc>
        <w:tc>
          <w:tcPr>
            <w:tcW w:type="dxa" w:w="3628"/>
            <w:vAlign w:val="center"/>
          </w:tcPr>
          <w:p>
            <w:pPr>
              <w:jc w:val="left"/>
            </w:pPr>
            <w:r/>
            <w:r>
              <w:rPr>
                <w:rFonts w:ascii="Arial" w:hAnsi="Arial" w:eastAsia="Microsoft YaHei"/>
                <w:b w:val="0"/>
                <w:sz w:val="16"/>
              </w:rPr>
              <w:t>课程能以项目、问题、案例或任务驱动学生学习，避免单纯知识灌输。</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7</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学生中心设计</w:t>
            </w:r>
          </w:p>
        </w:tc>
        <w:tc>
          <w:tcPr>
            <w:tcW w:type="dxa" w:w="3628"/>
            <w:vAlign w:val="center"/>
          </w:tcPr>
          <w:p>
            <w:pPr>
              <w:jc w:val="left"/>
            </w:pPr>
            <w:r/>
            <w:r>
              <w:rPr>
                <w:rFonts w:ascii="Arial" w:hAnsi="Arial" w:eastAsia="Microsoft YaHei"/>
                <w:b w:val="0"/>
                <w:sz w:val="16"/>
              </w:rPr>
              <w:t>教学设计体现启发式、探究式、讨论式、实践式等学生中心方法。</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8</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数字化工具应用</w:t>
            </w:r>
          </w:p>
        </w:tc>
        <w:tc>
          <w:tcPr>
            <w:tcW w:type="dxa" w:w="3628"/>
            <w:vAlign w:val="center"/>
          </w:tcPr>
          <w:p>
            <w:pPr>
              <w:jc w:val="left"/>
            </w:pPr>
            <w:r/>
            <w:r>
              <w:rPr>
                <w:rFonts w:ascii="Arial" w:hAnsi="Arial" w:eastAsia="Microsoft YaHei"/>
                <w:b w:val="0"/>
                <w:sz w:val="16"/>
              </w:rPr>
              <w:t>能合理使用AI、在线平台、数字资源或学习数据支持教学互动和个性化指导。</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9</w:t>
            </w:r>
          </w:p>
        </w:tc>
        <w:tc>
          <w:tcPr>
            <w:tcW w:type="dxa" w:w="1474"/>
            <w:vAlign w:val="center"/>
          </w:tcPr>
          <w:p>
            <w:pPr>
              <w:jc w:val="center"/>
            </w:pPr>
            <w:r/>
            <w:r>
              <w:rPr>
                <w:rFonts w:ascii="Arial" w:hAnsi="Arial" w:eastAsia="Microsoft YaHei"/>
                <w:b w:val="0"/>
                <w:sz w:val="16"/>
              </w:rPr>
              <w:t>内容与方式</w:t>
            </w:r>
          </w:p>
        </w:tc>
        <w:tc>
          <w:tcPr>
            <w:tcW w:type="dxa" w:w="2835"/>
            <w:vAlign w:val="center"/>
          </w:tcPr>
          <w:p>
            <w:pPr>
              <w:jc w:val="left"/>
            </w:pPr>
            <w:r/>
            <w:r>
              <w:rPr>
                <w:rFonts w:ascii="Arial" w:hAnsi="Arial" w:eastAsia="Microsoft YaHei"/>
                <w:b w:val="0"/>
                <w:sz w:val="16"/>
              </w:rPr>
              <w:t>资源建设与更新</w:t>
            </w:r>
          </w:p>
        </w:tc>
        <w:tc>
          <w:tcPr>
            <w:tcW w:type="dxa" w:w="3628"/>
            <w:vAlign w:val="center"/>
          </w:tcPr>
          <w:p>
            <w:pPr>
              <w:jc w:val="left"/>
            </w:pPr>
            <w:r/>
            <w:r>
              <w:rPr>
                <w:rFonts w:ascii="Arial" w:hAnsi="Arial" w:eastAsia="Microsoft YaHei"/>
                <w:b w:val="0"/>
                <w:sz w:val="16"/>
              </w:rPr>
              <w:t>课程资源有持续更新，能够支撑学生课前预习、课堂参与和课后拓展。</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10</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高阶能力考核</w:t>
            </w:r>
          </w:p>
        </w:tc>
        <w:tc>
          <w:tcPr>
            <w:tcW w:type="dxa" w:w="3628"/>
            <w:vAlign w:val="center"/>
          </w:tcPr>
          <w:p>
            <w:pPr>
              <w:jc w:val="left"/>
            </w:pPr>
            <w:r/>
            <w:r>
              <w:rPr>
                <w:rFonts w:ascii="Arial" w:hAnsi="Arial" w:eastAsia="Microsoft YaHei"/>
                <w:b w:val="0"/>
                <w:sz w:val="16"/>
              </w:rPr>
              <w:t>考核包含项目、作品、实操、方案设计、汇报展示等高阶能力评价任务。</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11</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过程性评价完整</w:t>
            </w:r>
          </w:p>
        </w:tc>
        <w:tc>
          <w:tcPr>
            <w:tcW w:type="dxa" w:w="3628"/>
            <w:vAlign w:val="center"/>
          </w:tcPr>
          <w:p>
            <w:pPr>
              <w:jc w:val="left"/>
            </w:pPr>
            <w:r/>
            <w:r>
              <w:rPr>
                <w:rFonts w:ascii="Arial" w:hAnsi="Arial" w:eastAsia="Microsoft YaHei"/>
                <w:b w:val="0"/>
                <w:sz w:val="16"/>
              </w:rPr>
              <w:t>形成性评价安排合理，过程记录、阶段反馈和学习支持较为完整。</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12</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评分标准清晰</w:t>
            </w:r>
          </w:p>
        </w:tc>
        <w:tc>
          <w:tcPr>
            <w:tcW w:type="dxa" w:w="3628"/>
            <w:vAlign w:val="center"/>
          </w:tcPr>
          <w:p>
            <w:pPr>
              <w:jc w:val="left"/>
            </w:pPr>
            <w:r/>
            <w:r>
              <w:rPr>
                <w:rFonts w:ascii="Arial" w:hAnsi="Arial" w:eastAsia="Microsoft YaHei"/>
                <w:b w:val="0"/>
                <w:sz w:val="16"/>
              </w:rPr>
              <w:t>评分量规、评价标准或作品评价要求清楚，学生能够理解如何改进。</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13</w:t>
            </w:r>
          </w:p>
        </w:tc>
        <w:tc>
          <w:tcPr>
            <w:tcW w:type="dxa" w:w="1474"/>
            <w:vAlign w:val="center"/>
          </w:tcPr>
          <w:p>
            <w:pPr>
              <w:jc w:val="center"/>
            </w:pPr>
            <w:r/>
            <w:r>
              <w:rPr>
                <w:rFonts w:ascii="Arial" w:hAnsi="Arial" w:eastAsia="Microsoft YaHei"/>
                <w:b w:val="0"/>
                <w:sz w:val="16"/>
              </w:rPr>
              <w:t>考核与评价</w:t>
            </w:r>
          </w:p>
        </w:tc>
        <w:tc>
          <w:tcPr>
            <w:tcW w:type="dxa" w:w="2835"/>
            <w:vAlign w:val="center"/>
          </w:tcPr>
          <w:p>
            <w:pPr>
              <w:jc w:val="left"/>
            </w:pPr>
            <w:r/>
            <w:r>
              <w:rPr>
                <w:rFonts w:ascii="Arial" w:hAnsi="Arial" w:eastAsia="Microsoft YaHei"/>
                <w:b w:val="0"/>
                <w:sz w:val="16"/>
              </w:rPr>
              <w:t>评价公平规范</w:t>
            </w:r>
          </w:p>
        </w:tc>
        <w:tc>
          <w:tcPr>
            <w:tcW w:type="dxa" w:w="3628"/>
            <w:vAlign w:val="center"/>
          </w:tcPr>
          <w:p>
            <w:pPr>
              <w:jc w:val="left"/>
            </w:pPr>
            <w:r/>
            <w:r>
              <w:rPr>
                <w:rFonts w:ascii="Arial" w:hAnsi="Arial" w:eastAsia="Microsoft YaHei"/>
                <w:b w:val="0"/>
                <w:sz w:val="16"/>
              </w:rPr>
              <w:t>考核方式、评分标准和成绩构成公开透明，能兼顾规范性与挑战度。</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14</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达成证据充分</w:t>
            </w:r>
          </w:p>
        </w:tc>
        <w:tc>
          <w:tcPr>
            <w:tcW w:type="dxa" w:w="3628"/>
            <w:vAlign w:val="center"/>
          </w:tcPr>
          <w:p>
            <w:pPr>
              <w:jc w:val="left"/>
            </w:pPr>
            <w:r/>
            <w:r>
              <w:rPr>
                <w:rFonts w:ascii="Arial" w:hAnsi="Arial" w:eastAsia="Microsoft YaHei"/>
                <w:b w:val="0"/>
                <w:sz w:val="16"/>
              </w:rPr>
              <w:t>能展示学生作品、项目报告、达成度数据或前后对比等教学成效证据。</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15</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能力提升明显</w:t>
            </w:r>
          </w:p>
        </w:tc>
        <w:tc>
          <w:tcPr>
            <w:tcW w:type="dxa" w:w="3628"/>
            <w:vAlign w:val="center"/>
          </w:tcPr>
          <w:p>
            <w:pPr>
              <w:jc w:val="left"/>
            </w:pPr>
            <w:r/>
            <w:r>
              <w:rPr>
                <w:rFonts w:ascii="Arial" w:hAnsi="Arial" w:eastAsia="Microsoft YaHei"/>
                <w:b w:val="0"/>
                <w:sz w:val="16"/>
              </w:rPr>
              <w:t>说课能够说明学生在专业能力、实践能力或综合解决问题能力上的提升。</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16</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成果具有代表性</w:t>
            </w:r>
          </w:p>
        </w:tc>
        <w:tc>
          <w:tcPr>
            <w:tcW w:type="dxa" w:w="3628"/>
            <w:vAlign w:val="center"/>
          </w:tcPr>
          <w:p>
            <w:pPr>
              <w:jc w:val="left"/>
            </w:pPr>
            <w:r/>
            <w:r>
              <w:rPr>
                <w:rFonts w:ascii="Arial" w:hAnsi="Arial" w:eastAsia="Microsoft YaHei"/>
                <w:b w:val="0"/>
                <w:sz w:val="16"/>
              </w:rPr>
              <w:t>课程成果能体现专业特色、教学创新、竞赛/项目转化或可推广价值。</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17</w:t>
            </w:r>
          </w:p>
        </w:tc>
        <w:tc>
          <w:tcPr>
            <w:tcW w:type="dxa" w:w="1474"/>
            <w:vAlign w:val="center"/>
          </w:tcPr>
          <w:p>
            <w:pPr>
              <w:jc w:val="center"/>
            </w:pPr>
            <w:r/>
            <w:r>
              <w:rPr>
                <w:rFonts w:ascii="Arial" w:hAnsi="Arial" w:eastAsia="Microsoft YaHei"/>
                <w:b w:val="0"/>
                <w:sz w:val="16"/>
              </w:rPr>
              <w:t>效果与达成</w:t>
            </w:r>
          </w:p>
        </w:tc>
        <w:tc>
          <w:tcPr>
            <w:tcW w:type="dxa" w:w="2835"/>
            <w:vAlign w:val="center"/>
          </w:tcPr>
          <w:p>
            <w:pPr>
              <w:jc w:val="left"/>
            </w:pPr>
            <w:r/>
            <w:r>
              <w:rPr>
                <w:rFonts w:ascii="Arial" w:hAnsi="Arial" w:eastAsia="Microsoft YaHei"/>
                <w:b w:val="0"/>
                <w:sz w:val="16"/>
              </w:rPr>
              <w:t>说课表达清晰</w:t>
            </w:r>
          </w:p>
        </w:tc>
        <w:tc>
          <w:tcPr>
            <w:tcW w:type="dxa" w:w="3628"/>
            <w:vAlign w:val="center"/>
          </w:tcPr>
          <w:p>
            <w:pPr>
              <w:jc w:val="left"/>
            </w:pPr>
            <w:r/>
            <w:r>
              <w:rPr>
                <w:rFonts w:ascii="Arial" w:hAnsi="Arial" w:eastAsia="Microsoft YaHei"/>
                <w:b w:val="0"/>
                <w:sz w:val="16"/>
              </w:rPr>
              <w:t>10分钟说课结构清楚、重点突出、时间控制合理，能够有效呈现课程质量。</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18</w:t>
            </w:r>
          </w:p>
        </w:tc>
        <w:tc>
          <w:tcPr>
            <w:tcW w:type="dxa" w:w="1474"/>
            <w:vAlign w:val="center"/>
          </w:tcPr>
          <w:p>
            <w:pPr>
              <w:jc w:val="center"/>
            </w:pPr>
            <w:r/>
            <w:r>
              <w:rPr>
                <w:rFonts w:ascii="Arial" w:hAnsi="Arial" w:eastAsia="Microsoft YaHei"/>
                <w:b w:val="0"/>
                <w:sz w:val="16"/>
              </w:rPr>
              <w:t>反思与改进</w:t>
            </w:r>
          </w:p>
        </w:tc>
        <w:tc>
          <w:tcPr>
            <w:tcW w:type="dxa" w:w="2835"/>
            <w:vAlign w:val="center"/>
          </w:tcPr>
          <w:p>
            <w:pPr>
              <w:jc w:val="left"/>
            </w:pPr>
            <w:r/>
            <w:r>
              <w:rPr>
                <w:rFonts w:ascii="Arial" w:hAnsi="Arial" w:eastAsia="Microsoft YaHei"/>
                <w:b w:val="0"/>
                <w:sz w:val="16"/>
              </w:rPr>
              <w:t>问题诊断准确</w:t>
            </w:r>
          </w:p>
        </w:tc>
        <w:tc>
          <w:tcPr>
            <w:tcW w:type="dxa" w:w="3628"/>
            <w:vAlign w:val="center"/>
          </w:tcPr>
          <w:p>
            <w:pPr>
              <w:jc w:val="left"/>
            </w:pPr>
            <w:r/>
            <w:r>
              <w:rPr>
                <w:rFonts w:ascii="Arial" w:hAnsi="Arial" w:eastAsia="Microsoft YaHei"/>
                <w:b w:val="0"/>
                <w:sz w:val="16"/>
              </w:rPr>
              <w:t>能基于数据、学生反馈或教学结果识别课程存在的关键问题。</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19</w:t>
            </w:r>
          </w:p>
        </w:tc>
        <w:tc>
          <w:tcPr>
            <w:tcW w:type="dxa" w:w="1474"/>
            <w:vAlign w:val="center"/>
          </w:tcPr>
          <w:p>
            <w:pPr>
              <w:jc w:val="center"/>
            </w:pPr>
            <w:r/>
            <w:r>
              <w:rPr>
                <w:rFonts w:ascii="Arial" w:hAnsi="Arial" w:eastAsia="Microsoft YaHei"/>
                <w:b w:val="0"/>
                <w:sz w:val="16"/>
              </w:rPr>
              <w:t>反思与改进</w:t>
            </w:r>
          </w:p>
        </w:tc>
        <w:tc>
          <w:tcPr>
            <w:tcW w:type="dxa" w:w="2835"/>
            <w:vAlign w:val="center"/>
          </w:tcPr>
          <w:p>
            <w:pPr>
              <w:jc w:val="left"/>
            </w:pPr>
            <w:r/>
            <w:r>
              <w:rPr>
                <w:rFonts w:ascii="Arial" w:hAnsi="Arial" w:eastAsia="Microsoft YaHei"/>
                <w:b w:val="0"/>
                <w:sz w:val="16"/>
              </w:rPr>
              <w:t>改进措施可操作</w:t>
            </w:r>
          </w:p>
        </w:tc>
        <w:tc>
          <w:tcPr>
            <w:tcW w:type="dxa" w:w="3628"/>
            <w:vAlign w:val="center"/>
          </w:tcPr>
          <w:p>
            <w:pPr>
              <w:jc w:val="left"/>
            </w:pPr>
            <w:r/>
            <w:r>
              <w:rPr>
                <w:rFonts w:ascii="Arial" w:hAnsi="Arial" w:eastAsia="Microsoft YaHei"/>
                <w:b w:val="0"/>
                <w:sz w:val="16"/>
              </w:rPr>
              <w:t>改进计划具体、可执行、可衡量，能够对应前期发现的问题。</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r>
        <w:tc>
          <w:tcPr>
            <w:tcW w:type="dxa" w:w="624"/>
            <w:vAlign w:val="center"/>
          </w:tcPr>
          <w:p>
            <w:pPr>
              <w:jc w:val="center"/>
            </w:pPr>
            <w:r/>
            <w:r>
              <w:rPr>
                <w:rFonts w:ascii="Arial" w:hAnsi="Arial" w:eastAsia="Microsoft YaHei"/>
                <w:b w:val="0"/>
                <w:sz w:val="17"/>
              </w:rPr>
              <w:t>20</w:t>
            </w:r>
          </w:p>
        </w:tc>
        <w:tc>
          <w:tcPr>
            <w:tcW w:type="dxa" w:w="1474"/>
            <w:vAlign w:val="center"/>
          </w:tcPr>
          <w:p>
            <w:pPr>
              <w:jc w:val="center"/>
            </w:pPr>
            <w:r/>
            <w:r>
              <w:rPr>
                <w:rFonts w:ascii="Arial" w:hAnsi="Arial" w:eastAsia="Microsoft YaHei"/>
                <w:b w:val="0"/>
                <w:sz w:val="16"/>
              </w:rPr>
              <w:t>反思与改进</w:t>
            </w:r>
          </w:p>
        </w:tc>
        <w:tc>
          <w:tcPr>
            <w:tcW w:type="dxa" w:w="2835"/>
            <w:vAlign w:val="center"/>
          </w:tcPr>
          <w:p>
            <w:pPr>
              <w:jc w:val="left"/>
            </w:pPr>
            <w:r/>
            <w:r>
              <w:rPr>
                <w:rFonts w:ascii="Arial" w:hAnsi="Arial" w:eastAsia="Microsoft YaHei"/>
                <w:b w:val="0"/>
                <w:sz w:val="16"/>
              </w:rPr>
              <w:t>持续改进闭环</w:t>
            </w:r>
          </w:p>
        </w:tc>
        <w:tc>
          <w:tcPr>
            <w:tcW w:type="dxa" w:w="3628"/>
            <w:vAlign w:val="center"/>
          </w:tcPr>
          <w:p>
            <w:pPr>
              <w:jc w:val="left"/>
            </w:pPr>
            <w:r/>
            <w:r>
              <w:rPr>
                <w:rFonts w:ascii="Arial" w:hAnsi="Arial" w:eastAsia="Microsoft YaHei"/>
                <w:b w:val="0"/>
                <w:sz w:val="16"/>
              </w:rPr>
              <w:t>能说明上一轮改进措施的落实情况及后续持续优化方向。</w:t>
            </w:r>
          </w:p>
        </w:tc>
        <w:tc>
          <w:tcPr>
            <w:tcW w:type="dxa" w:w="624"/>
            <w:vAlign w:val="center"/>
          </w:tcPr>
          <w:p>
            <w:pPr>
              <w:jc w:val="center"/>
            </w:pPr>
            <w:r/>
            <w:r>
              <w:rPr>
                <w:rFonts w:ascii="Arial" w:hAnsi="Arial" w:eastAsia="Microsoft YaHei"/>
                <w:b w:val="0"/>
                <w:sz w:val="17"/>
              </w:rPr>
              <w:t>5</w:t>
            </w:r>
          </w:p>
        </w:tc>
        <w:tc>
          <w:tcPr>
            <w:tcW w:type="dxa" w:w="680"/>
            <w:vAlign w:val="center"/>
          </w:tcPr>
          <w:p>
            <w:pPr>
              <w:jc w:val="center"/>
            </w:pPr>
            <w:r/>
            <w:r>
              <w:rPr>
                <w:rFonts w:ascii="Arial" w:hAnsi="Arial" w:eastAsia="Microsoft YaHei"/>
                <w:b w:val="0"/>
                <w:sz w:val="17"/>
              </w:rPr>
            </w:r>
          </w:p>
        </w:tc>
      </w:tr>
    </w:tbl>
    <w:p/>
    <w:p>
      <w:pPr>
        <w:jc w:val="center"/>
      </w:pPr>
      <w:r>
        <w:t>总分：__________ / 100分    评价人签名：__________    日期：______年____月____日</w:t>
      </w:r>
    </w:p>
    <w:p>
      <w:pPr>
        <w:pStyle w:val="Heading1"/>
      </w:pPr>
      <w:r>
        <w:t>三、结果使用建议</w:t>
      </w:r>
    </w:p>
    <w:p>
      <w:r>
        <w:t>建议90分及以上为优秀表现，80—89分为良好表现，70—79分为基本达成，60—69分为需重点改进，60分以下为存在较大质量风险。</w:t>
      </w:r>
    </w:p>
    <w:p>
      <w:r>
        <w:t>本表得分可作为学院教师课程教学质量评价的分项依据，最终等级仍应结合学院实施方案中的权重、比例、前置限定条件及申诉复核程序综合认定。</w:t>
      </w:r>
    </w:p>
    <w:sectPr w:rsidR="00FC693F" w:rsidRPr="0006063C" w:rsidSect="00034616">
      <w:pgSz w:w="12240" w:h="15840"/>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