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rFonts w:ascii="黑体" w:cs="黑体" w:eastAsia="黑体" w:hAnsi="黑体"/>
          <w:b/>
          <w:bCs/>
          <w:sz w:val="36"/>
          <w:szCs w:val="36"/>
        </w:rPr>
        <w:t xml:space="preserve">数字艺术与设计学院</w:t>
      </w:r>
    </w:p>
    <w:p>
      <w:pPr>
        <w:spacing w:after="200"/>
        <w:jc w:val="center"/>
      </w:pPr>
      <w:r>
        <w:rPr>
          <w:rFonts w:ascii="黑体" w:cs="黑体" w:eastAsia="黑体" w:hAnsi="黑体"/>
          <w:b/>
          <w:bCs/>
          <w:sz w:val="36"/>
          <w:szCs w:val="36"/>
        </w:rPr>
        <w:t xml:space="preserve">教师课程教学质量评价 S/A/B/C 等级细化细则</w:t>
      </w:r>
    </w:p>
    <w:p>
      <w:pPr>
        <w:spacing w:after="300"/>
        <w:jc w:val="center"/>
      </w:pPr>
      <w:r>
        <w:rPr>
          <w:color w:val="555555"/>
          <w:sz w:val="21"/>
          <w:szCs w:val="21"/>
        </w:rPr>
        <w:t xml:space="preserve">（依据校发〔2026〕79 号及《教师课程教学质量评价标准框架》制定）</w:t>
      </w:r>
    </w:p>
    <w:p>
      <w:pPr>
        <w:pStyle w:val="Heading1"/>
      </w:pPr>
      <w:r>
        <w:t xml:space="preserve">一、总则</w:t>
      </w:r>
    </w:p>
    <w:p>
      <w:pPr>
        <w:spacing w:after="120" w:line="320"/>
        <w:ind w:firstLine="480"/>
      </w:pPr>
      <w:r>
        <w:t xml:space="preserve">第一条 为落实《大连东软信息学院教师课程教学质量评价办法》（校发〔2026〕79 号）及其附件《教师课程教学质量评价标准框架》要求，结合我院实际，对 A、B、C 等级评价指标进行细化，形成本细则。S 级核心标准由学校统一制定并组织评审，本细则将其作为各维度对标上限一并列出。</w:t>
      </w:r>
    </w:p>
    <w:p>
      <w:pPr>
        <w:spacing w:after="120" w:line="320"/>
        <w:ind w:firstLine="480"/>
      </w:pPr>
      <w:r>
        <w:t xml:space="preserve">第二条 课程评估分数为五个维度得分之和（满分 100 分）：目标与思政（20 分）、内容与方式（25 分）、考核与评价（20 分）、效果与达成（20 分）、反思与改进（15 分）。学院依据评估分数对参评课程（教师）进行排序，按比例划分等级。</w:t>
      </w:r>
    </w:p>
    <w:p>
      <w:pPr>
        <w:spacing w:after="120" w:line="320"/>
        <w:ind w:firstLine="480"/>
      </w:pPr>
      <w:r>
        <w:t xml:space="preserve">第三条 各维度得分由三方评价加权形成：上级评价 40%（定向听课 60% + 教学材料审查 40%）、同行评价 30%（说课评价）、学生评价 30%（问卷 + 个别访谈）。</w:t>
      </w:r>
    </w:p>
    <w:p>
      <w:pPr>
        <w:pStyle w:val="Heading1"/>
      </w:pPr>
      <w:r>
        <w:t xml:space="preserve">二、等级比例与判定流程</w:t>
      </w:r>
    </w:p>
    <w:p>
      <w:pPr>
        <w:spacing w:after="120" w:line="320"/>
        <w:ind w:firstLine="480"/>
      </w:pPr>
      <w:r>
        <w:t xml:space="preserve">第四条 等级比例（以本轮参评教师总数为基数，中层管理干部独立评价、不占 S/A 配额）：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5626"/>
      </w:tblGrid>
      <w:tr>
        <w:trPr>
          <w:tblHeader/>
        </w:trPr>
        <w:tc>
          <w:tcPr>
            <w:tcW w:type="dxa" w:w="12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仿宋_GB2312" w:cs="仿宋_GB2312" w:eastAsia="仿宋_GB2312" w:hAnsi="仿宋_GB2312"/>
                <w:b/>
                <w:bCs/>
                <w:sz w:val="20"/>
                <w:szCs w:val="20"/>
              </w:rPr>
              <w:t xml:space="preserve">等级</w:t>
            </w:r>
          </w:p>
        </w:tc>
        <w:tc>
          <w:tcPr>
            <w:tcW w:type="dxa" w:w="22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仿宋_GB2312" w:cs="仿宋_GB2312" w:eastAsia="仿宋_GB2312" w:hAnsi="仿宋_GB2312"/>
                <w:b/>
                <w:bCs/>
                <w:sz w:val="20"/>
                <w:szCs w:val="20"/>
              </w:rPr>
              <w:t xml:space="preserve">比例</w:t>
            </w:r>
          </w:p>
        </w:tc>
        <w:tc>
          <w:tcPr>
            <w:tcW w:type="dxa" w:w="5626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仿宋_GB2312" w:cs="仿宋_GB2312" w:eastAsia="仿宋_GB2312" w:hAnsi="仿宋_GB2312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sz w:val="20"/>
                <w:szCs w:val="20"/>
              </w:rPr>
              <w:t xml:space="preserve">S</w:t>
            </w:r>
          </w:p>
        </w:tc>
        <w:tc>
          <w:tcPr>
            <w:tcW w:type="dxa" w:w="22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仿宋_GB2312" w:cs="仿宋_GB2312" w:eastAsia="仿宋_GB2312" w:hAnsi="仿宋_GB2312"/>
                <w:b w:val="false"/>
                <w:bCs w:val="false"/>
                <w:sz w:val="20"/>
                <w:szCs w:val="20"/>
              </w:rPr>
              <w:t xml:space="preserve">≤ 10%</w:t>
            </w:r>
          </w:p>
        </w:tc>
        <w:tc>
          <w:tcPr>
            <w:tcW w:type="dxa" w:w="5626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仿宋_GB2312" w:cs="仿宋_GB2312" w:eastAsia="仿宋_GB2312" w:hAnsi="仿宋_GB2312"/>
                <w:b w:val="false"/>
                <w:bCs w:val="false"/>
                <w:sz w:val="20"/>
                <w:szCs w:val="20"/>
              </w:rPr>
              <w:t xml:space="preserve">示范级。从 A 档排序前列中产生，经学院初评推荐、学校评审认定。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22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仿宋_GB2312" w:cs="仿宋_GB2312" w:eastAsia="仿宋_GB2312" w:hAnsi="仿宋_GB2312"/>
                <w:b w:val="false"/>
                <w:bCs w:val="false"/>
                <w:sz w:val="20"/>
                <w:szCs w:val="20"/>
              </w:rPr>
              <w:t xml:space="preserve">S+A 合计约 40%</w:t>
            </w:r>
          </w:p>
        </w:tc>
        <w:tc>
          <w:tcPr>
            <w:tcW w:type="dxa" w:w="5626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仿宋_GB2312" w:cs="仿宋_GB2312" w:eastAsia="仿宋_GB2312" w:hAnsi="仿宋_GB2312"/>
                <w:b w:val="false"/>
                <w:bCs w:val="false"/>
                <w:sz w:val="20"/>
                <w:szCs w:val="20"/>
              </w:rPr>
              <w:t xml:space="preserve">发展级 II。按综合分降序、在扣除已认定 S 名额后依次填充。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22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仿宋_GB2312" w:cs="仿宋_GB2312" w:eastAsia="仿宋_GB2312" w:hAnsi="仿宋_GB2312"/>
                <w:b w:val="false"/>
                <w:bCs w:val="false"/>
                <w:sz w:val="20"/>
                <w:szCs w:val="20"/>
              </w:rPr>
              <w:t xml:space="preserve">约 30%</w:t>
            </w:r>
          </w:p>
        </w:tc>
        <w:tc>
          <w:tcPr>
            <w:tcW w:type="dxa" w:w="5626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仿宋_GB2312" w:cs="仿宋_GB2312" w:eastAsia="仿宋_GB2312" w:hAnsi="仿宋_GB2312"/>
                <w:b w:val="false"/>
                <w:bCs w:val="false"/>
                <w:sz w:val="20"/>
                <w:szCs w:val="20"/>
              </w:rPr>
              <w:t xml:space="preserve">发展级 I。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BE4E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sz w:val="20"/>
                <w:szCs w:val="20"/>
              </w:rPr>
              <w:t xml:space="preserve">C</w:t>
            </w:r>
          </w:p>
        </w:tc>
        <w:tc>
          <w:tcPr>
            <w:tcW w:type="dxa" w:w="22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仿宋_GB2312" w:cs="仿宋_GB2312" w:eastAsia="仿宋_GB2312" w:hAnsi="仿宋_GB2312"/>
                <w:b w:val="false"/>
                <w:bCs w:val="false"/>
                <w:sz w:val="20"/>
                <w:szCs w:val="20"/>
              </w:rPr>
              <w:t xml:space="preserve">约 30%</w:t>
            </w:r>
          </w:p>
        </w:tc>
        <w:tc>
          <w:tcPr>
            <w:tcW w:type="dxa" w:w="5626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仿宋_GB2312" w:cs="仿宋_GB2312" w:eastAsia="仿宋_GB2312" w:hAnsi="仿宋_GB2312"/>
                <w:b w:val="false"/>
                <w:bCs w:val="false"/>
                <w:sz w:val="20"/>
                <w:szCs w:val="20"/>
              </w:rPr>
              <w:t xml:space="preserve">关注级。纳入持续改进跟踪。</w:t>
            </w:r>
          </w:p>
        </w:tc>
      </w:tr>
    </w:tbl>
    <w:p>
      <w:pPr>
        <w:spacing w:before="120"/>
      </w:pPr>
    </w:p>
    <w:p>
      <w:pPr>
        <w:spacing w:after="120" w:line="320"/>
        <w:ind w:firstLine="480"/>
      </w:pPr>
      <w:r>
        <w:t xml:space="preserve">第五条 判定流程：① 按课程评估分数全院降序排序；② 执行否决与限定条款（见第四部分）；③ 按上表比例依次划入 S/A/B/C；④ 边界分数并列或数据不完整者，由学院评价工作组集体商议确定；⑤ 结果经学院会签审核后发布。</w:t>
      </w:r>
    </w:p>
    <w:p>
      <w:pPr>
        <w:pStyle w:val="Heading1"/>
      </w:pPr>
      <w:r>
        <w:t xml:space="preserve">三、维度分级细则</w:t>
      </w:r>
    </w:p>
    <w:p>
      <w:pPr>
        <w:spacing w:after="120" w:line="320"/>
        <w:ind w:firstLine="480"/>
      </w:pPr>
      <w:r>
        <w:rPr>
          <w:b/>
          <w:bCs/>
        </w:rPr>
        <w:t xml:space="preserve">各维度按“维度得分率”分档：A 档 ≥90%，B 档 70%（含）~90%，C 档 &lt;70%。S 级核心标准为学校评审依据，列出供对标。</w:t>
      </w:r>
    </w:p>
    <w:p>
      <w:pPr>
        <w:spacing w:after="80" w:before="20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维度 1　目标与思政（20 分）</w:t>
      </w:r>
    </w:p>
    <w:p>
      <w:pPr>
        <w:shd w:fill="EDF2FA" w:val="clear"/>
        <w:spacing w:after="100"/>
      </w:pPr>
      <w:r>
        <w:rPr>
          <w:color w:val="1F4E79"/>
          <w:sz w:val="20"/>
          <w:szCs w:val="20"/>
        </w:rPr>
        <w:t xml:space="preserve">S 级核心标准：① 课程思政与专业知识有机融合，育人导向明确；② 课程目标明确表述对分析、判断、解决复杂问题等高阶能力的培养；③ 目标与专业毕业要求指标点支撑关系清晰。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700"/>
        <w:gridCol w:w="6426"/>
      </w:tblGrid>
      <w:tr>
        <w:trPr>
          <w:tblHeader/>
        </w:trPr>
        <w:tc>
          <w:tcPr>
            <w:tcW w:type="dxa" w:w="9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仿宋_GB2312" w:cs="仿宋_GB2312" w:eastAsia="仿宋_GB2312" w:hAnsi="仿宋_GB2312"/>
                <w:b/>
                <w:bCs/>
                <w:sz w:val="20"/>
                <w:szCs w:val="20"/>
              </w:rPr>
              <w:t xml:space="preserve">等级</w:t>
            </w:r>
          </w:p>
        </w:tc>
        <w:tc>
          <w:tcPr>
            <w:tcW w:type="dxa" w:w="17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仿宋_GB2312" w:cs="仿宋_GB2312" w:eastAsia="仿宋_GB2312" w:hAnsi="仿宋_GB2312"/>
                <w:b/>
                <w:bCs/>
                <w:sz w:val="20"/>
                <w:szCs w:val="20"/>
              </w:rPr>
              <w:t xml:space="preserve">得分率（分数带）</w:t>
            </w:r>
          </w:p>
        </w:tc>
        <w:tc>
          <w:tcPr>
            <w:tcW w:type="dxa" w:w="6426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仿宋_GB2312" w:cs="仿宋_GB2312" w:eastAsia="仿宋_GB2312" w:hAnsi="仿宋_GB2312"/>
                <w:b/>
                <w:bCs/>
                <w:sz w:val="20"/>
                <w:szCs w:val="20"/>
              </w:rPr>
              <w:t xml:space="preserve">细化标准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17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仿宋_GB2312" w:cs="仿宋_GB2312" w:eastAsia="仿宋_GB2312" w:hAnsi="仿宋_GB2312"/>
                <w:b w:val="false"/>
                <w:bCs w:val="false"/>
                <w:sz w:val="20"/>
                <w:szCs w:val="20"/>
              </w:rPr>
              <w:t xml:space="preserve">≥90%</w:t>
            </w:r>
          </w:p>
          <w:p>
            <w:pPr>
              <w:spacing w:after="20"/>
            </w:pPr>
            <w:r>
              <w:rPr>
                <w:rFonts w:ascii="仿宋_GB2312" w:cs="仿宋_GB2312" w:eastAsia="仿宋_GB2312" w:hAnsi="仿宋_GB2312"/>
                <w:b w:val="false"/>
                <w:bCs w:val="false"/>
                <w:sz w:val="20"/>
                <w:szCs w:val="20"/>
              </w:rPr>
              <w:t xml:space="preserve">（≥18 分）</w:t>
            </w:r>
          </w:p>
        </w:tc>
        <w:tc>
          <w:tcPr>
            <w:tcW w:type="dxa" w:w="6426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仿宋_GB2312" w:cs="仿宋_GB2312" w:eastAsia="仿宋_GB2312" w:hAnsi="仿宋_GB2312"/>
                <w:b w:val="false"/>
                <w:bCs w:val="false"/>
                <w:sz w:val="20"/>
                <w:szCs w:val="20"/>
              </w:rPr>
              <w:t xml:space="preserve">思政元素与专业内容有机融合、自然贴切，育人导向明确；课程目标明确表述高阶能力培养且可考核；目标与毕业要求指标点支撑关系完整清晰；课程标准与考核方式在开课前完成论证、审核。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17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仿宋_GB2312" w:cs="仿宋_GB2312" w:eastAsia="仿宋_GB2312" w:hAnsi="仿宋_GB2312"/>
                <w:b w:val="false"/>
                <w:bCs w:val="false"/>
                <w:sz w:val="20"/>
                <w:szCs w:val="20"/>
              </w:rPr>
              <w:t xml:space="preserve">70%~90%</w:t>
            </w:r>
          </w:p>
          <w:p>
            <w:pPr>
              <w:spacing w:after="20"/>
            </w:pPr>
            <w:r>
              <w:rPr>
                <w:rFonts w:ascii="仿宋_GB2312" w:cs="仿宋_GB2312" w:eastAsia="仿宋_GB2312" w:hAnsi="仿宋_GB2312"/>
                <w:b w:val="false"/>
                <w:bCs w:val="false"/>
                <w:sz w:val="20"/>
                <w:szCs w:val="20"/>
              </w:rPr>
              <w:t xml:space="preserve">（14~18 分）</w:t>
            </w:r>
          </w:p>
        </w:tc>
        <w:tc>
          <w:tcPr>
            <w:tcW w:type="dxa" w:w="6426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仿宋_GB2312" w:cs="仿宋_GB2312" w:eastAsia="仿宋_GB2312" w:hAnsi="仿宋_GB2312"/>
                <w:b w:val="false"/>
                <w:bCs w:val="false"/>
                <w:sz w:val="20"/>
                <w:szCs w:val="20"/>
              </w:rPr>
              <w:t xml:space="preserve">基本达成上述要求，但思政融合自然度、目标表述清晰度或高阶能力指向略有不足；与毕业要求支撑关系基本清晰，个别指标点对应模糊。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BE4E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sz w:val="20"/>
                <w:szCs w:val="20"/>
              </w:rPr>
              <w:t xml:space="preserve">C</w:t>
            </w:r>
          </w:p>
        </w:tc>
        <w:tc>
          <w:tcPr>
            <w:tcW w:type="dxa" w:w="17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仿宋_GB2312" w:cs="仿宋_GB2312" w:eastAsia="仿宋_GB2312" w:hAnsi="仿宋_GB2312"/>
                <w:b w:val="false"/>
                <w:bCs w:val="false"/>
                <w:sz w:val="20"/>
                <w:szCs w:val="20"/>
              </w:rPr>
              <w:t xml:space="preserve">&lt;70%</w:t>
            </w:r>
          </w:p>
          <w:p>
            <w:pPr>
              <w:spacing w:after="20"/>
            </w:pPr>
            <w:r>
              <w:rPr>
                <w:rFonts w:ascii="仿宋_GB2312" w:cs="仿宋_GB2312" w:eastAsia="仿宋_GB2312" w:hAnsi="仿宋_GB2312"/>
                <w:b w:val="false"/>
                <w:bCs w:val="false"/>
                <w:sz w:val="20"/>
                <w:szCs w:val="20"/>
              </w:rPr>
              <w:t xml:space="preserve">（&lt;14 分）</w:t>
            </w:r>
          </w:p>
        </w:tc>
        <w:tc>
          <w:tcPr>
            <w:tcW w:type="dxa" w:w="6426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仿宋_GB2312" w:cs="仿宋_GB2312" w:eastAsia="仿宋_GB2312" w:hAnsi="仿宋_GB2312"/>
                <w:b w:val="false"/>
                <w:bCs w:val="false"/>
                <w:sz w:val="20"/>
                <w:szCs w:val="20"/>
              </w:rPr>
              <w:t xml:space="preserve">课程目标以知识记忆为主、能力培养体现不足；或目标与毕业要求指标点存在脱节；思政内容缺失或生硬“贴标签”。</w:t>
            </w:r>
          </w:p>
        </w:tc>
      </w:tr>
    </w:tbl>
    <w:p>
      <w:pPr>
        <w:spacing w:after="160" w:before="60"/>
      </w:pPr>
      <w:r>
        <w:rPr>
          <w:i/>
          <w:iCs/>
          <w:color w:val="666666"/>
          <w:sz w:val="19"/>
          <w:szCs w:val="19"/>
        </w:rPr>
        <w:t xml:space="preserve">观测点：课程标准审核记录；教学大纲/教案中目标—毕业要求对应矩阵；听课与材料审查中思政融合的自然度。</w:t>
      </w:r>
    </w:p>
    <w:p>
      <w:pPr>
        <w:spacing w:after="80" w:before="20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维度 2　内容与方式（25 分）</w:t>
      </w:r>
    </w:p>
    <w:p>
      <w:pPr>
        <w:shd w:fill="EDF2FA" w:val="clear"/>
        <w:spacing w:after="100"/>
      </w:pPr>
      <w:r>
        <w:rPr>
          <w:color w:val="1F4E79"/>
          <w:sz w:val="20"/>
          <w:szCs w:val="20"/>
        </w:rPr>
        <w:t xml:space="preserve">S 级核心标准：① 内容先进实用，以项目/问题/案例为导引，资源有效支撑能力训练；② 采用启发式、探究式等学生中心教学法，学生有效参与课堂比率≥90%；③ 有效利用数字化工具提升教学互动与个性化精准支持。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700"/>
        <w:gridCol w:w="6426"/>
      </w:tblGrid>
      <w:tr>
        <w:trPr>
          <w:tblHeader/>
        </w:trPr>
        <w:tc>
          <w:tcPr>
            <w:tcW w:type="dxa" w:w="9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仿宋_GB2312" w:cs="仿宋_GB2312" w:eastAsia="仿宋_GB2312" w:hAnsi="仿宋_GB2312"/>
                <w:b/>
                <w:bCs/>
                <w:sz w:val="20"/>
                <w:szCs w:val="20"/>
              </w:rPr>
              <w:t xml:space="preserve">等级</w:t>
            </w:r>
          </w:p>
        </w:tc>
        <w:tc>
          <w:tcPr>
            <w:tcW w:type="dxa" w:w="17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仿宋_GB2312" w:cs="仿宋_GB2312" w:eastAsia="仿宋_GB2312" w:hAnsi="仿宋_GB2312"/>
                <w:b/>
                <w:bCs/>
                <w:sz w:val="20"/>
                <w:szCs w:val="20"/>
              </w:rPr>
              <w:t xml:space="preserve">得分率（分数带）</w:t>
            </w:r>
          </w:p>
        </w:tc>
        <w:tc>
          <w:tcPr>
            <w:tcW w:type="dxa" w:w="6426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仿宋_GB2312" w:cs="仿宋_GB2312" w:eastAsia="仿宋_GB2312" w:hAnsi="仿宋_GB2312"/>
                <w:b/>
                <w:bCs/>
                <w:sz w:val="20"/>
                <w:szCs w:val="20"/>
              </w:rPr>
              <w:t xml:space="preserve">细化标准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17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仿宋_GB2312" w:cs="仿宋_GB2312" w:eastAsia="仿宋_GB2312" w:hAnsi="仿宋_GB2312"/>
                <w:b w:val="false"/>
                <w:bCs w:val="false"/>
                <w:sz w:val="20"/>
                <w:szCs w:val="20"/>
              </w:rPr>
              <w:t xml:space="preserve">≥90%</w:t>
            </w:r>
          </w:p>
          <w:p>
            <w:pPr>
              <w:spacing w:after="20"/>
            </w:pPr>
            <w:r>
              <w:rPr>
                <w:rFonts w:ascii="仿宋_GB2312" w:cs="仿宋_GB2312" w:eastAsia="仿宋_GB2312" w:hAnsi="仿宋_GB2312"/>
                <w:b w:val="false"/>
                <w:bCs w:val="false"/>
                <w:sz w:val="20"/>
                <w:szCs w:val="20"/>
              </w:rPr>
              <w:t xml:space="preserve">（≥22.5 分）</w:t>
            </w:r>
          </w:p>
        </w:tc>
        <w:tc>
          <w:tcPr>
            <w:tcW w:type="dxa" w:w="6426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仿宋_GB2312" w:cs="仿宋_GB2312" w:eastAsia="仿宋_GB2312" w:hAnsi="仿宋_GB2312"/>
                <w:b w:val="false"/>
                <w:bCs w:val="false"/>
                <w:sz w:val="20"/>
                <w:szCs w:val="20"/>
              </w:rPr>
              <w:t xml:space="preserve">内容、资源与方法较好匹配课程目标；有一定比例的资源更新，侧重真实项目/企业案例，至少包含考核相关材料与促进自主学习的资源；以学生为中心组织教学，学生有效参与课堂比率 &gt;70%；数字化工具运用有效。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17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仿宋_GB2312" w:cs="仿宋_GB2312" w:eastAsia="仿宋_GB2312" w:hAnsi="仿宋_GB2312"/>
                <w:b w:val="false"/>
                <w:bCs w:val="false"/>
                <w:sz w:val="20"/>
                <w:szCs w:val="20"/>
              </w:rPr>
              <w:t xml:space="preserve">70%~90%</w:t>
            </w:r>
          </w:p>
          <w:p>
            <w:pPr>
              <w:spacing w:after="20"/>
            </w:pPr>
            <w:r>
              <w:rPr>
                <w:rFonts w:ascii="仿宋_GB2312" w:cs="仿宋_GB2312" w:eastAsia="仿宋_GB2312" w:hAnsi="仿宋_GB2312"/>
                <w:b w:val="false"/>
                <w:bCs w:val="false"/>
                <w:sz w:val="20"/>
                <w:szCs w:val="20"/>
              </w:rPr>
              <w:t xml:space="preserve">（17.5~22.5 分）</w:t>
            </w:r>
          </w:p>
        </w:tc>
        <w:tc>
          <w:tcPr>
            <w:tcW w:type="dxa" w:w="6426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仿宋_GB2312" w:cs="仿宋_GB2312" w:eastAsia="仿宋_GB2312" w:hAnsi="仿宋_GB2312"/>
                <w:b w:val="false"/>
                <w:bCs w:val="false"/>
                <w:sz w:val="20"/>
                <w:szCs w:val="20"/>
              </w:rPr>
              <w:t xml:space="preserve">基本达成要求，但资源更新不足或案例真实性欠缺；学生有效参与课堂比率 50%~70%；数字化工具使用流于形式。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BE4E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sz w:val="20"/>
                <w:szCs w:val="20"/>
              </w:rPr>
              <w:t xml:space="preserve">C</w:t>
            </w:r>
          </w:p>
        </w:tc>
        <w:tc>
          <w:tcPr>
            <w:tcW w:type="dxa" w:w="17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仿宋_GB2312" w:cs="仿宋_GB2312" w:eastAsia="仿宋_GB2312" w:hAnsi="仿宋_GB2312"/>
                <w:b w:val="false"/>
                <w:bCs w:val="false"/>
                <w:sz w:val="20"/>
                <w:szCs w:val="20"/>
              </w:rPr>
              <w:t xml:space="preserve">&lt;70%</w:t>
            </w:r>
          </w:p>
          <w:p>
            <w:pPr>
              <w:spacing w:after="20"/>
            </w:pPr>
            <w:r>
              <w:rPr>
                <w:rFonts w:ascii="仿宋_GB2312" w:cs="仿宋_GB2312" w:eastAsia="仿宋_GB2312" w:hAnsi="仿宋_GB2312"/>
                <w:b w:val="false"/>
                <w:bCs w:val="false"/>
                <w:sz w:val="20"/>
                <w:szCs w:val="20"/>
              </w:rPr>
              <w:t xml:space="preserve">（&lt;17.5 分）</w:t>
            </w:r>
          </w:p>
        </w:tc>
        <w:tc>
          <w:tcPr>
            <w:tcW w:type="dxa" w:w="6426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仿宋_GB2312" w:cs="仿宋_GB2312" w:eastAsia="仿宋_GB2312" w:hAnsi="仿宋_GB2312"/>
                <w:b w:val="false"/>
                <w:bCs w:val="false"/>
                <w:sz w:val="20"/>
                <w:szCs w:val="20"/>
              </w:rPr>
              <w:t xml:space="preserve">内容陈旧或以单向知识传授为主，课堂互动不足；学生有效参与课堂比率 &lt;50%。</w:t>
            </w:r>
          </w:p>
        </w:tc>
      </w:tr>
    </w:tbl>
    <w:p>
      <w:pPr>
        <w:spacing w:after="160" w:before="60"/>
      </w:pPr>
      <w:r>
        <w:rPr>
          <w:i/>
          <w:iCs/>
          <w:color w:val="666666"/>
          <w:sz w:val="19"/>
          <w:szCs w:val="19"/>
        </w:rPr>
        <w:t xml:space="preserve">观测点：委员听课记录的“学生有效参与课堂比率”；资源更新清单；学生评价“老师辅导、答疑、批改及时，对我改进学习帮助大”；委员“愿意推荐该课堂突出优点”数据。</w:t>
      </w:r>
    </w:p>
    <w:p>
      <w:pPr>
        <w:spacing w:after="80" w:before="20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维度 3　考核与评价（20 分）</w:t>
      </w:r>
    </w:p>
    <w:p>
      <w:pPr>
        <w:shd w:fill="EDF2FA" w:val="clear"/>
        <w:spacing w:after="100"/>
      </w:pPr>
      <w:r>
        <w:rPr>
          <w:color w:val="1F4E79"/>
          <w:sz w:val="20"/>
          <w:szCs w:val="20"/>
        </w:rPr>
        <w:t xml:space="preserve">S 级核心标准：① 命题与考核方式（项目、实操、调试等）直接检验高阶能力，占比≥50%；② 评分量规清晰合理（如引入行业标准），过程性考核记录完整、反馈及时有效。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700"/>
        <w:gridCol w:w="6426"/>
      </w:tblGrid>
      <w:tr>
        <w:trPr>
          <w:tblHeader/>
        </w:trPr>
        <w:tc>
          <w:tcPr>
            <w:tcW w:type="dxa" w:w="9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仿宋_GB2312" w:cs="仿宋_GB2312" w:eastAsia="仿宋_GB2312" w:hAnsi="仿宋_GB2312"/>
                <w:b/>
                <w:bCs/>
                <w:sz w:val="20"/>
                <w:szCs w:val="20"/>
              </w:rPr>
              <w:t xml:space="preserve">等级</w:t>
            </w:r>
          </w:p>
        </w:tc>
        <w:tc>
          <w:tcPr>
            <w:tcW w:type="dxa" w:w="17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仿宋_GB2312" w:cs="仿宋_GB2312" w:eastAsia="仿宋_GB2312" w:hAnsi="仿宋_GB2312"/>
                <w:b/>
                <w:bCs/>
                <w:sz w:val="20"/>
                <w:szCs w:val="20"/>
              </w:rPr>
              <w:t xml:space="preserve">得分率（分数带）</w:t>
            </w:r>
          </w:p>
        </w:tc>
        <w:tc>
          <w:tcPr>
            <w:tcW w:type="dxa" w:w="6426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仿宋_GB2312" w:cs="仿宋_GB2312" w:eastAsia="仿宋_GB2312" w:hAnsi="仿宋_GB2312"/>
                <w:b/>
                <w:bCs/>
                <w:sz w:val="20"/>
                <w:szCs w:val="20"/>
              </w:rPr>
              <w:t xml:space="preserve">细化标准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17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仿宋_GB2312" w:cs="仿宋_GB2312" w:eastAsia="仿宋_GB2312" w:hAnsi="仿宋_GB2312"/>
                <w:b w:val="false"/>
                <w:bCs w:val="false"/>
                <w:sz w:val="20"/>
                <w:szCs w:val="20"/>
              </w:rPr>
              <w:t xml:space="preserve">≥90%</w:t>
            </w:r>
          </w:p>
          <w:p>
            <w:pPr>
              <w:spacing w:after="20"/>
            </w:pPr>
            <w:r>
              <w:rPr>
                <w:rFonts w:ascii="仿宋_GB2312" w:cs="仿宋_GB2312" w:eastAsia="仿宋_GB2312" w:hAnsi="仿宋_GB2312"/>
                <w:b w:val="false"/>
                <w:bCs w:val="false"/>
                <w:sz w:val="20"/>
                <w:szCs w:val="20"/>
              </w:rPr>
              <w:t xml:space="preserve">（≥18 分）</w:t>
            </w:r>
          </w:p>
        </w:tc>
        <w:tc>
          <w:tcPr>
            <w:tcW w:type="dxa" w:w="6426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仿宋_GB2312" w:cs="仿宋_GB2312" w:eastAsia="仿宋_GB2312" w:hAnsi="仿宋_GB2312"/>
                <w:b w:val="false"/>
                <w:bCs w:val="false"/>
                <w:sz w:val="20"/>
                <w:szCs w:val="20"/>
              </w:rPr>
              <w:t xml:space="preserve">能力考核占比 ≥30%；命题符合课程标准、覆盖面/难易度/区分度合理；评分标准（量规）清晰并按标准执行；过程性考核记录完整，评阅规范、反馈及时。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17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仿宋_GB2312" w:cs="仿宋_GB2312" w:eastAsia="仿宋_GB2312" w:hAnsi="仿宋_GB2312"/>
                <w:b w:val="false"/>
                <w:bCs w:val="false"/>
                <w:sz w:val="20"/>
                <w:szCs w:val="20"/>
              </w:rPr>
              <w:t xml:space="preserve">70%~90%</w:t>
            </w:r>
          </w:p>
          <w:p>
            <w:pPr>
              <w:spacing w:after="20"/>
            </w:pPr>
            <w:r>
              <w:rPr>
                <w:rFonts w:ascii="仿宋_GB2312" w:cs="仿宋_GB2312" w:eastAsia="仿宋_GB2312" w:hAnsi="仿宋_GB2312"/>
                <w:b w:val="false"/>
                <w:bCs w:val="false"/>
                <w:sz w:val="20"/>
                <w:szCs w:val="20"/>
              </w:rPr>
              <w:t xml:space="preserve">（14~18 分）</w:t>
            </w:r>
          </w:p>
        </w:tc>
        <w:tc>
          <w:tcPr>
            <w:tcW w:type="dxa" w:w="6426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仿宋_GB2312" w:cs="仿宋_GB2312" w:eastAsia="仿宋_GB2312" w:hAnsi="仿宋_GB2312"/>
                <w:b w:val="false"/>
                <w:bCs w:val="false"/>
                <w:sz w:val="20"/>
                <w:szCs w:val="20"/>
              </w:rPr>
              <w:t xml:space="preserve">能力考核占比 10%~30%；命题、评阅规范性略有不足（如量规笼统、过程记录不全或反馈滞后）。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BE4E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sz w:val="20"/>
                <w:szCs w:val="20"/>
              </w:rPr>
              <w:t xml:space="preserve">C</w:t>
            </w:r>
          </w:p>
        </w:tc>
        <w:tc>
          <w:tcPr>
            <w:tcW w:type="dxa" w:w="17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仿宋_GB2312" w:cs="仿宋_GB2312" w:eastAsia="仿宋_GB2312" w:hAnsi="仿宋_GB2312"/>
                <w:b w:val="false"/>
                <w:bCs w:val="false"/>
                <w:sz w:val="20"/>
                <w:szCs w:val="20"/>
              </w:rPr>
              <w:t xml:space="preserve">&lt;70%</w:t>
            </w:r>
          </w:p>
          <w:p>
            <w:pPr>
              <w:spacing w:after="20"/>
            </w:pPr>
            <w:r>
              <w:rPr>
                <w:rFonts w:ascii="仿宋_GB2312" w:cs="仿宋_GB2312" w:eastAsia="仿宋_GB2312" w:hAnsi="仿宋_GB2312"/>
                <w:b w:val="false"/>
                <w:bCs w:val="false"/>
                <w:sz w:val="20"/>
                <w:szCs w:val="20"/>
              </w:rPr>
              <w:t xml:space="preserve">（&lt;14 分）</w:t>
            </w:r>
          </w:p>
        </w:tc>
        <w:tc>
          <w:tcPr>
            <w:tcW w:type="dxa" w:w="6426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仿宋_GB2312" w:cs="仿宋_GB2312" w:eastAsia="仿宋_GB2312" w:hAnsi="仿宋_GB2312"/>
                <w:b w:val="false"/>
                <w:bCs w:val="false"/>
                <w:sz w:val="20"/>
                <w:szCs w:val="20"/>
              </w:rPr>
              <w:t xml:space="preserve">能力考核占比 ≤10%，以记忆性内容考核为主；过程性评价不足；或存在考核异常数据。</w:t>
            </w:r>
          </w:p>
        </w:tc>
      </w:tr>
    </w:tbl>
    <w:p>
      <w:pPr>
        <w:spacing w:after="160" w:before="60"/>
      </w:pPr>
      <w:r>
        <w:rPr>
          <w:i/>
          <w:iCs/>
          <w:color w:val="666666"/>
          <w:sz w:val="19"/>
          <w:szCs w:val="19"/>
        </w:rPr>
        <w:t xml:space="preserve">观测点：考核管理系统异常数据；课程评估报告“命题质量”“评阅质量”指标值；试题/作业与量规样本。因增加挑战度的考核改革导致分数下降的，经学院评议后不影响评价结果。</w:t>
      </w:r>
    </w:p>
    <w:p>
      <w:pPr>
        <w:spacing w:after="80" w:before="20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维度 4　效果与达成（20 分）</w:t>
      </w:r>
    </w:p>
    <w:p>
      <w:pPr>
        <w:shd w:fill="EDF2FA" w:val="clear"/>
        <w:spacing w:after="100"/>
      </w:pPr>
      <w:r>
        <w:rPr>
          <w:color w:val="1F4E79"/>
          <w:sz w:val="20"/>
          <w:szCs w:val="20"/>
        </w:rPr>
        <w:t xml:space="preserve">S 级核心标准：① 有明确证据表明学生目标能力达成好或显著提升（作品对比、项目报告等）；② 达成度计算合理、核心能力达成水平高；③ 学生评价满意度高（≥90）。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700"/>
        <w:gridCol w:w="6426"/>
      </w:tblGrid>
      <w:tr>
        <w:trPr>
          <w:tblHeader/>
        </w:trPr>
        <w:tc>
          <w:tcPr>
            <w:tcW w:type="dxa" w:w="9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仿宋_GB2312" w:cs="仿宋_GB2312" w:eastAsia="仿宋_GB2312" w:hAnsi="仿宋_GB2312"/>
                <w:b/>
                <w:bCs/>
                <w:sz w:val="20"/>
                <w:szCs w:val="20"/>
              </w:rPr>
              <w:t xml:space="preserve">等级</w:t>
            </w:r>
          </w:p>
        </w:tc>
        <w:tc>
          <w:tcPr>
            <w:tcW w:type="dxa" w:w="17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仿宋_GB2312" w:cs="仿宋_GB2312" w:eastAsia="仿宋_GB2312" w:hAnsi="仿宋_GB2312"/>
                <w:b/>
                <w:bCs/>
                <w:sz w:val="20"/>
                <w:szCs w:val="20"/>
              </w:rPr>
              <w:t xml:space="preserve">得分率（分数带）</w:t>
            </w:r>
          </w:p>
        </w:tc>
        <w:tc>
          <w:tcPr>
            <w:tcW w:type="dxa" w:w="6426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仿宋_GB2312" w:cs="仿宋_GB2312" w:eastAsia="仿宋_GB2312" w:hAnsi="仿宋_GB2312"/>
                <w:b/>
                <w:bCs/>
                <w:sz w:val="20"/>
                <w:szCs w:val="20"/>
              </w:rPr>
              <w:t xml:space="preserve">细化标准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17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仿宋_GB2312" w:cs="仿宋_GB2312" w:eastAsia="仿宋_GB2312" w:hAnsi="仿宋_GB2312"/>
                <w:b w:val="false"/>
                <w:bCs w:val="false"/>
                <w:sz w:val="20"/>
                <w:szCs w:val="20"/>
              </w:rPr>
              <w:t xml:space="preserve">≥90%</w:t>
            </w:r>
          </w:p>
          <w:p>
            <w:pPr>
              <w:spacing w:after="20"/>
            </w:pPr>
            <w:r>
              <w:rPr>
                <w:rFonts w:ascii="仿宋_GB2312" w:cs="仿宋_GB2312" w:eastAsia="仿宋_GB2312" w:hAnsi="仿宋_GB2312"/>
                <w:b w:val="false"/>
                <w:bCs w:val="false"/>
                <w:sz w:val="20"/>
                <w:szCs w:val="20"/>
              </w:rPr>
              <w:t xml:space="preserve">（≥18 分）</w:t>
            </w:r>
          </w:p>
        </w:tc>
        <w:tc>
          <w:tcPr>
            <w:tcW w:type="dxa" w:w="6426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仿宋_GB2312" w:cs="仿宋_GB2312" w:eastAsia="仿宋_GB2312" w:hAnsi="仿宋_GB2312"/>
                <w:b w:val="false"/>
                <w:bCs w:val="false"/>
                <w:sz w:val="20"/>
                <w:szCs w:val="20"/>
              </w:rPr>
              <w:t xml:space="preserve">在课程目标与考核方式合理的前提下，有较充分的成果证据（作品、项目报告、竞赛获奖等）；核心能力达成度 ≥70%；学生评价满意度较高（≥80）；“效果提升”数据持平及以上。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17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仿宋_GB2312" w:cs="仿宋_GB2312" w:eastAsia="仿宋_GB2312" w:hAnsi="仿宋_GB2312"/>
                <w:b w:val="false"/>
                <w:bCs w:val="false"/>
                <w:sz w:val="20"/>
                <w:szCs w:val="20"/>
              </w:rPr>
              <w:t xml:space="preserve">70%~90%</w:t>
            </w:r>
          </w:p>
          <w:p>
            <w:pPr>
              <w:spacing w:after="20"/>
            </w:pPr>
            <w:r>
              <w:rPr>
                <w:rFonts w:ascii="仿宋_GB2312" w:cs="仿宋_GB2312" w:eastAsia="仿宋_GB2312" w:hAnsi="仿宋_GB2312"/>
                <w:b w:val="false"/>
                <w:bCs w:val="false"/>
                <w:sz w:val="20"/>
                <w:szCs w:val="20"/>
              </w:rPr>
              <w:t xml:space="preserve">（14~18 分）</w:t>
            </w:r>
          </w:p>
        </w:tc>
        <w:tc>
          <w:tcPr>
            <w:tcW w:type="dxa" w:w="6426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仿宋_GB2312" w:cs="仿宋_GB2312" w:eastAsia="仿宋_GB2312" w:hAnsi="仿宋_GB2312"/>
                <w:b w:val="false"/>
                <w:bCs w:val="false"/>
                <w:sz w:val="20"/>
                <w:szCs w:val="20"/>
              </w:rPr>
              <w:t xml:space="preserve">有部分成果证据；核心能力达成度 50%~70%；学生满意度中等。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BE4E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sz w:val="20"/>
                <w:szCs w:val="20"/>
              </w:rPr>
              <w:t xml:space="preserve">C</w:t>
            </w:r>
          </w:p>
        </w:tc>
        <w:tc>
          <w:tcPr>
            <w:tcW w:type="dxa" w:w="17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仿宋_GB2312" w:cs="仿宋_GB2312" w:eastAsia="仿宋_GB2312" w:hAnsi="仿宋_GB2312"/>
                <w:b w:val="false"/>
                <w:bCs w:val="false"/>
                <w:sz w:val="20"/>
                <w:szCs w:val="20"/>
              </w:rPr>
              <w:t xml:space="preserve">&lt;70%</w:t>
            </w:r>
          </w:p>
          <w:p>
            <w:pPr>
              <w:spacing w:after="20"/>
            </w:pPr>
            <w:r>
              <w:rPr>
                <w:rFonts w:ascii="仿宋_GB2312" w:cs="仿宋_GB2312" w:eastAsia="仿宋_GB2312" w:hAnsi="仿宋_GB2312"/>
                <w:b w:val="false"/>
                <w:bCs w:val="false"/>
                <w:sz w:val="20"/>
                <w:szCs w:val="20"/>
              </w:rPr>
              <w:t xml:space="preserve">（&lt;14 分）</w:t>
            </w:r>
          </w:p>
        </w:tc>
        <w:tc>
          <w:tcPr>
            <w:tcW w:type="dxa" w:w="6426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仿宋_GB2312" w:cs="仿宋_GB2312" w:eastAsia="仿宋_GB2312" w:hAnsi="仿宋_GB2312"/>
                <w:b w:val="false"/>
                <w:bCs w:val="false"/>
                <w:sz w:val="20"/>
                <w:szCs w:val="20"/>
              </w:rPr>
              <w:t xml:space="preserve">核心能力达成度 &lt;50%，或缺乏可信的达成证据；学生满意度明显偏低。</w:t>
            </w:r>
          </w:p>
        </w:tc>
      </w:tr>
    </w:tbl>
    <w:p>
      <w:pPr>
        <w:spacing w:after="160" w:before="60"/>
      </w:pPr>
      <w:r>
        <w:rPr>
          <w:i/>
          <w:iCs/>
          <w:color w:val="666666"/>
          <w:sz w:val="19"/>
          <w:szCs w:val="19"/>
        </w:rPr>
        <w:t xml:space="preserve">观测点：课程数字画像达成度及变化；效果提升数据（本年度平均成绩与前三年均值比较，阈值 ε=2 分或及格率 ε=5%）；学生评价成绩、课下投入时间、最愿推荐 TOP2 课程数据。评价以“目标—考核合理”为前提，不以单纯分数高低论效果。</w:t>
      </w:r>
    </w:p>
    <w:p>
      <w:pPr>
        <w:spacing w:after="80" w:before="20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维度 5　反思与改进（15 分）</w:t>
      </w:r>
    </w:p>
    <w:p>
      <w:pPr>
        <w:shd w:fill="EDF2FA" w:val="clear"/>
        <w:spacing w:after="100"/>
      </w:pPr>
      <w:r>
        <w:rPr>
          <w:color w:val="1F4E79"/>
          <w:sz w:val="20"/>
          <w:szCs w:val="20"/>
        </w:rPr>
        <w:t xml:space="preserve">S 级核心标准：① 课程总结精准分析成效与问题（尤其能力培养）；② 改进计划具体、可操作、可衡量，上一轮问题已落实。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700"/>
        <w:gridCol w:w="6426"/>
      </w:tblGrid>
      <w:tr>
        <w:trPr>
          <w:tblHeader/>
        </w:trPr>
        <w:tc>
          <w:tcPr>
            <w:tcW w:type="dxa" w:w="9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仿宋_GB2312" w:cs="仿宋_GB2312" w:eastAsia="仿宋_GB2312" w:hAnsi="仿宋_GB2312"/>
                <w:b/>
                <w:bCs/>
                <w:sz w:val="20"/>
                <w:szCs w:val="20"/>
              </w:rPr>
              <w:t xml:space="preserve">等级</w:t>
            </w:r>
          </w:p>
        </w:tc>
        <w:tc>
          <w:tcPr>
            <w:tcW w:type="dxa" w:w="17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仿宋_GB2312" w:cs="仿宋_GB2312" w:eastAsia="仿宋_GB2312" w:hAnsi="仿宋_GB2312"/>
                <w:b/>
                <w:bCs/>
                <w:sz w:val="20"/>
                <w:szCs w:val="20"/>
              </w:rPr>
              <w:t xml:space="preserve">得分率（分数带）</w:t>
            </w:r>
          </w:p>
        </w:tc>
        <w:tc>
          <w:tcPr>
            <w:tcW w:type="dxa" w:w="6426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仿宋_GB2312" w:cs="仿宋_GB2312" w:eastAsia="仿宋_GB2312" w:hAnsi="仿宋_GB2312"/>
                <w:b/>
                <w:bCs/>
                <w:sz w:val="20"/>
                <w:szCs w:val="20"/>
              </w:rPr>
              <w:t xml:space="preserve">细化标准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17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仿宋_GB2312" w:cs="仿宋_GB2312" w:eastAsia="仿宋_GB2312" w:hAnsi="仿宋_GB2312"/>
                <w:b w:val="false"/>
                <w:bCs w:val="false"/>
                <w:sz w:val="20"/>
                <w:szCs w:val="20"/>
              </w:rPr>
              <w:t xml:space="preserve">≥90%</w:t>
            </w:r>
          </w:p>
          <w:p>
            <w:pPr>
              <w:spacing w:after="20"/>
            </w:pPr>
            <w:r>
              <w:rPr>
                <w:rFonts w:ascii="仿宋_GB2312" w:cs="仿宋_GB2312" w:eastAsia="仿宋_GB2312" w:hAnsi="仿宋_GB2312"/>
                <w:b w:val="false"/>
                <w:bCs w:val="false"/>
                <w:sz w:val="20"/>
                <w:szCs w:val="20"/>
              </w:rPr>
              <w:t xml:space="preserve">（≥13.5 分）</w:t>
            </w:r>
          </w:p>
        </w:tc>
        <w:tc>
          <w:tcPr>
            <w:tcW w:type="dxa" w:w="6426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仿宋_GB2312" w:cs="仿宋_GB2312" w:eastAsia="仿宋_GB2312" w:hAnsi="仿宋_GB2312"/>
                <w:b w:val="false"/>
                <w:bCs w:val="false"/>
                <w:sz w:val="20"/>
                <w:szCs w:val="20"/>
              </w:rPr>
              <w:t xml:space="preserve">总结精准分析成效与问题并聚焦能力培养；改进计划具体、可操作、可衡量；上一轮问题整改有实效。注：无核心能力培养效果分析或无上一轮改进成效者，本维度最高评至 A（不得作为 S 级推荐依据）。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17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仿宋_GB2312" w:cs="仿宋_GB2312" w:eastAsia="仿宋_GB2312" w:hAnsi="仿宋_GB2312"/>
                <w:b w:val="false"/>
                <w:bCs w:val="false"/>
                <w:sz w:val="20"/>
                <w:szCs w:val="20"/>
              </w:rPr>
              <w:t xml:space="preserve">70%~90%</w:t>
            </w:r>
          </w:p>
          <w:p>
            <w:pPr>
              <w:spacing w:after="20"/>
            </w:pPr>
            <w:r>
              <w:rPr>
                <w:rFonts w:ascii="仿宋_GB2312" w:cs="仿宋_GB2312" w:eastAsia="仿宋_GB2312" w:hAnsi="仿宋_GB2312"/>
                <w:b w:val="false"/>
                <w:bCs w:val="false"/>
                <w:sz w:val="20"/>
                <w:szCs w:val="20"/>
              </w:rPr>
              <w:t xml:space="preserve">（10.5~13.5 分）</w:t>
            </w:r>
          </w:p>
        </w:tc>
        <w:tc>
          <w:tcPr>
            <w:tcW w:type="dxa" w:w="6426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仿宋_GB2312" w:cs="仿宋_GB2312" w:eastAsia="仿宋_GB2312" w:hAnsi="仿宋_GB2312"/>
                <w:b w:val="false"/>
                <w:bCs w:val="false"/>
                <w:sz w:val="20"/>
                <w:szCs w:val="20"/>
              </w:rPr>
              <w:t xml:space="preserve">有总结与改进计划，但分析深度或计划可操作性不足；上一轮问题整改不彻底。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BE4E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sz w:val="20"/>
                <w:szCs w:val="20"/>
              </w:rPr>
              <w:t xml:space="preserve">C</w:t>
            </w:r>
          </w:p>
        </w:tc>
        <w:tc>
          <w:tcPr>
            <w:tcW w:type="dxa" w:w="17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仿宋_GB2312" w:cs="仿宋_GB2312" w:eastAsia="仿宋_GB2312" w:hAnsi="仿宋_GB2312"/>
                <w:b w:val="false"/>
                <w:bCs w:val="false"/>
                <w:sz w:val="20"/>
                <w:szCs w:val="20"/>
              </w:rPr>
              <w:t xml:space="preserve">&lt;70%</w:t>
            </w:r>
          </w:p>
          <w:p>
            <w:pPr>
              <w:spacing w:after="20"/>
            </w:pPr>
            <w:r>
              <w:rPr>
                <w:rFonts w:ascii="仿宋_GB2312" w:cs="仿宋_GB2312" w:eastAsia="仿宋_GB2312" w:hAnsi="仿宋_GB2312"/>
                <w:b w:val="false"/>
                <w:bCs w:val="false"/>
                <w:sz w:val="20"/>
                <w:szCs w:val="20"/>
              </w:rPr>
              <w:t xml:space="preserve">（&lt;10.5 分）</w:t>
            </w:r>
          </w:p>
        </w:tc>
        <w:tc>
          <w:tcPr>
            <w:tcW w:type="dxa" w:w="6426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仿宋_GB2312" w:cs="仿宋_GB2312" w:eastAsia="仿宋_GB2312" w:hAnsi="仿宋_GB2312"/>
                <w:b w:val="false"/>
                <w:bCs w:val="false"/>
                <w:sz w:val="20"/>
                <w:szCs w:val="20"/>
              </w:rPr>
              <w:t xml:space="preserve">缺乏有效反思；无改进计划或计划空泛不可衡量；上一轮问题未落实。</w:t>
            </w:r>
          </w:p>
        </w:tc>
      </w:tr>
    </w:tbl>
    <w:p>
      <w:pPr>
        <w:spacing w:after="160" w:before="60"/>
      </w:pPr>
      <w:r>
        <w:rPr>
          <w:i/>
          <w:iCs/>
          <w:color w:val="666666"/>
          <w:sz w:val="19"/>
          <w:szCs w:val="19"/>
        </w:rPr>
        <w:t xml:space="preserve">观测点：课程总结报告；持续改进跟踪单；上一轮改进事项对账。</w:t>
      </w:r>
    </w:p>
    <w:p>
      <w:pPr>
        <w:pStyle w:val="Heading1"/>
      </w:pPr>
      <w:r>
        <w:t xml:space="preserve">四、否决与限定条款</w:t>
      </w:r>
    </w:p>
    <w:p>
      <w:pPr>
        <w:spacing w:after="120" w:line="320"/>
        <w:ind w:firstLine="480"/>
      </w:pPr>
      <w:r>
        <w:t xml:space="preserve">第六条 维度否决：五个维度中任一维度处于最低档（维度得分率 &lt;70%），总体评价结果不得为 A 及以上（即最高定为 B）。</w:t>
      </w:r>
    </w:p>
    <w:p>
      <w:pPr>
        <w:spacing w:after="120" w:line="320"/>
        <w:ind w:firstLine="480"/>
      </w:pPr>
      <w:r>
        <w:t xml:space="preserve">第七条 前置限定：凡有师德师风问题、教学事故等情形的，按学校办法执行相应等级限制；触发“直接定 C/D”情形的不参与排序填充。</w:t>
      </w:r>
    </w:p>
    <w:p>
      <w:pPr>
        <w:spacing w:after="120" w:line="320"/>
        <w:ind w:firstLine="480"/>
      </w:pPr>
      <w:r>
        <w:t xml:space="preserve">第八条 数据完整性：听课、材料审查、学生问卷、访谈等评价数据不足最低样本要求的，标记“数据不完整”，由学院评价工作组补充评价或商议定级。</w:t>
      </w:r>
    </w:p>
    <w:p>
      <w:pPr>
        <w:pStyle w:val="Heading1"/>
      </w:pPr>
      <w:r>
        <w:t xml:space="preserve">五、结果运用</w:t>
      </w:r>
    </w:p>
    <w:p>
      <w:pPr>
        <w:spacing w:after="120" w:line="320"/>
        <w:ind w:firstLine="480"/>
      </w:pPr>
      <w:r>
        <w:t xml:space="preserve">第九条 获评 S 级课程（教师）按学校要求发挥示范辐射作用；A 级教师优先推荐各类教学奖项与课程建设项目。</w:t>
      </w:r>
    </w:p>
    <w:p>
      <w:pPr>
        <w:spacing w:after="120" w:line="320"/>
        <w:ind w:firstLine="480"/>
      </w:pPr>
      <w:r>
        <w:t xml:space="preserve">第十条 C 级教师由所在系制定持续改进计划，填写改进跟踪单，下一评价周期对照检查改进成效。</w:t>
      </w:r>
    </w:p>
    <w:p>
      <w:pPr>
        <w:pStyle w:val="Heading1"/>
      </w:pPr>
      <w:r>
        <w:t xml:space="preserve">六、附则</w:t>
      </w:r>
    </w:p>
    <w:p>
      <w:pPr>
        <w:spacing w:after="120" w:line="320"/>
        <w:ind w:firstLine="480"/>
      </w:pPr>
      <w:r>
        <w:t xml:space="preserve">第十一条 本细则由数字艺术与设计学院教学质量评价工作组负责解释，自发布之日起施行；如与学校最新文件不一致，以学校文件为准。</w:t>
      </w:r>
    </w:p>
    <w:sectPr>
      <w:footerReference w:type="default" r:id="rId7"/>
      <w:pgSz w:w="11906" w:h="16838" w:orient="portrait"/>
      <w:pgMar w:top="1440" w:right="1300" w:bottom="144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—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仿宋_GB2312" w:cs="仿宋_GB2312" w:eastAsia="仿宋_GB2312" w:hAnsi="仿宋_GB231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黑体" w:cs="黑体" w:eastAsia="黑体" w:hAnsi="黑体"/>
      <w:b/>
      <w:bCs/>
      <w:color w:val="00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教师课程教学质量评价 S/A/B/C 等级细化细则</dc:title>
  <dc:creator>数字艺术与设计学院</dc:creator>
  <cp:lastModifiedBy>Un-named</cp:lastModifiedBy>
  <cp:revision>1</cp:revision>
  <dcterms:created xsi:type="dcterms:W3CDTF">2026-07-10T10:23:10.200Z</dcterms:created>
  <dcterms:modified xsi:type="dcterms:W3CDTF">2026-07-10T10:23:10.201Z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