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 Resolution Recommender</w:t>
      </w:r>
    </w:p>
    <w:p>
      <w:r>
        <w:rPr>
          <w:b/>
          <w:sz w:val="38"/>
        </w:rPr>
        <w:t>API Documentation</w:t>
      </w:r>
    </w:p>
    <w:p>
      <w:r>
        <w:rPr>
          <w:color w:val="5A5A5A"/>
        </w:rPr>
        <w:t>Version: Codebase-derived documentation | Date: 07 October 2026</w:t>
      </w:r>
    </w:p>
    <w:p>
      <w:pPr>
        <w:pStyle w:val="Heading1"/>
      </w:pPr>
      <w:r>
        <w:t>Purpose</w:t>
      </w:r>
    </w:p>
    <w:p>
      <w:r>
        <w:t>This document consolidates the API specification supplied in api_docmentation.txt with the actual backend and frontend implementation supplied in the two codebase archives. It documents the existing DQ Check APIs and adds the implemented Resolution Recommender /recommend API.</w:t>
      </w:r>
    </w:p>
    <w:p>
      <w:pPr>
        <w:pStyle w:val="Heading2"/>
      </w:pPr>
      <w:r>
        <w:t>Important implementation note</w:t>
      </w:r>
    </w:p>
    <w:p>
      <w:r>
        <w:t>The supplied text file describes four /dqCheck endpoints. Code inspection shows that the newer Resolution Recommender endpoint is implemented separately under the /resolution blueprint as POST /resolution/recommend. The frontend invokes this endpoint through the useSubmitJsonMutation API function.</w:t>
      </w:r>
    </w:p>
    <w:p>
      <w:pPr>
        <w:pStyle w:val="Heading1"/>
      </w:pPr>
      <w:r>
        <w:t>1. API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84"/>
            <w:vAlign w:val="center"/>
          </w:tcPr>
          <w:p>
            <w:r>
              <w:t>Recommend Resolution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/resolution/recommend</w:t>
            </w:r>
          </w:p>
        </w:tc>
        <w:tc>
          <w:tcPr>
            <w:tcW w:type="dxa" w:w="2484"/>
            <w:vAlign w:val="center"/>
          </w:tcPr>
          <w:p>
            <w:r>
              <w:t>Generate a historical-data-grounded resolution/investigation recommendation dynamically based on sourceBrand configuration.</w:t>
            </w:r>
          </w:p>
        </w:tc>
      </w:tr>
      <w:tr>
        <w:tc>
          <w:tcPr>
            <w:tcW w:type="dxa" w:w="2484"/>
            <w:vAlign w:val="center"/>
          </w:tcPr>
          <w:p>
            <w:r>
              <w:t>Recommend Investigation Analysis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/dqCheck/recommendInvestigationAnalysis</w:t>
            </w:r>
          </w:p>
        </w:tc>
        <w:tc>
          <w:tcPr>
            <w:tcW w:type="dxa" w:w="2484"/>
            <w:vAlign w:val="center"/>
          </w:tcPr>
          <w:p>
            <w:r>
              <w:t>Generate a SOC investigation-analysis recommendation.</w:t>
            </w:r>
          </w:p>
        </w:tc>
      </w:tr>
      <w:tr>
        <w:tc>
          <w:tcPr>
            <w:tcW w:type="dxa" w:w="2484"/>
            <w:vAlign w:val="center"/>
          </w:tcPr>
          <w:p>
            <w:r>
              <w:t>Recommend Closing Note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/dqCheck/recommendClosingNote</w:t>
            </w:r>
          </w:p>
        </w:tc>
        <w:tc>
          <w:tcPr>
            <w:tcW w:type="dxa" w:w="2484"/>
            <w:vAlign w:val="center"/>
          </w:tcPr>
          <w:p>
            <w:r>
              <w:t>Generate a structured closing-note recommendation.</w:t>
            </w:r>
          </w:p>
        </w:tc>
      </w:tr>
      <w:tr>
        <w:tc>
          <w:tcPr>
            <w:tcW w:type="dxa" w:w="2484"/>
            <w:vAlign w:val="center"/>
          </w:tcPr>
          <w:p>
            <w:r>
              <w:t>Validate Investigation Analysis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/dqCheck/validateInvestigationAnalysis</w:t>
            </w:r>
          </w:p>
        </w:tc>
        <w:tc>
          <w:tcPr>
            <w:tcW w:type="dxa" w:w="2484"/>
            <w:vAlign w:val="center"/>
          </w:tcPr>
          <w:p>
            <w:r>
              <w:t>Validate relevance and format of analyst investigation analysis.</w:t>
            </w:r>
          </w:p>
        </w:tc>
      </w:tr>
      <w:tr>
        <w:tc>
          <w:tcPr>
            <w:tcW w:type="dxa" w:w="2484"/>
            <w:vAlign w:val="center"/>
          </w:tcPr>
          <w:p>
            <w:r>
              <w:t>Validate Closing Note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/dqCheck/validateClosingNote</w:t>
            </w:r>
          </w:p>
        </w:tc>
        <w:tc>
          <w:tcPr>
            <w:tcW w:type="dxa" w:w="2484"/>
            <w:vAlign w:val="center"/>
          </w:tcPr>
          <w:p>
            <w:r>
              <w:t>Validate relevance and format of analyst closing note.</w:t>
            </w:r>
          </w:p>
        </w:tc>
      </w:tr>
    </w:tbl>
    <w:p>
      <w:pPr>
        <w:pStyle w:val="Heading1"/>
      </w:pPr>
      <w:r>
        <w:t>2. Environment &amp; Base URL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Value / Source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 Flask port</w:t>
            </w:r>
          </w:p>
        </w:tc>
        <w:tc>
          <w:tcPr>
            <w:tcW w:type="dxa" w:w="4968"/>
            <w:vAlign w:val="center"/>
          </w:tcPr>
          <w:p>
            <w:r>
              <w:t>8004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 run command</w:t>
            </w:r>
          </w:p>
        </w:tc>
        <w:tc>
          <w:tcPr>
            <w:tcW w:type="dxa" w:w="4968"/>
            <w:vAlign w:val="center"/>
          </w:tcPr>
          <w:p>
            <w:r>
              <w:t>flask run -h 0.0.0.0 -p 8004 --cert=ismartams.crt --key=ismartams.key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 root config</w:t>
            </w:r>
          </w:p>
        </w:tc>
        <w:tc>
          <w:tcPr>
            <w:tcW w:type="dxa" w:w="4968"/>
            <w:vAlign w:val="center"/>
          </w:tcPr>
          <w:p>
            <w:r>
              <w:t>/AREPython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 API base</w:t>
            </w:r>
          </w:p>
        </w:tc>
        <w:tc>
          <w:tcPr>
            <w:tcW w:type="dxa" w:w="4968"/>
            <w:vAlign w:val="center"/>
          </w:tcPr>
          <w:p>
            <w:r>
              <w:t>VITE_API_BASE_URL (runtime environment variable)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 local constant observed</w:t>
            </w:r>
          </w:p>
        </w:tc>
        <w:tc>
          <w:tcPr>
            <w:tcW w:type="dxa" w:w="4968"/>
            <w:vAlign w:val="center"/>
          </w:tcPr>
          <w:p>
            <w:r>
              <w:t>http://localhost:8080/ismartService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Content type for /recommend</w:t>
            </w:r>
          </w:p>
        </w:tc>
        <w:tc>
          <w:tcPr>
            <w:tcW w:type="dxa" w:w="4968"/>
            <w:vAlign w:val="center"/>
          </w:tcPr>
          <w:p>
            <w:r>
              <w:t>application/json</w:t>
            </w:r>
          </w:p>
        </w:tc>
      </w:tr>
    </w:tbl>
    <w:p>
      <w:r>
        <w:t>The frontend's API client uses VITE_API_BASE_URL as its fetchBaseQuery base URL. Therefore, the final URL is the configured base URL followed by /resolution/recommend. The backend itself registers the Resolution blueprint with the /resolution prefix.</w:t>
      </w:r>
    </w:p>
    <w:p>
      <w:pPr>
        <w:pStyle w:val="Heading1"/>
      </w:pPr>
      <w:r>
        <w:t>3. POST /resolution/recommend — Recommend Resolution</w:t>
      </w:r>
    </w:p>
    <w:p>
      <w:r>
        <w:t>Generates a structured recommendation from the current alert/request payload. The backend determines the source-specific retrieval configuration from the sourceBrand value, builds the search query and filters dynamically, retrieves similar historical records, and passes the retrieved context to the recommendation-generation function.</w:t>
      </w:r>
    </w:p>
    <w:p>
      <w:pPr>
        <w:pStyle w:val="Heading2"/>
      </w:pPr>
      <w:r>
        <w:t>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t>Method</w:t>
            </w:r>
          </w:p>
        </w:tc>
        <w:tc>
          <w:tcPr>
            <w:tcW w:type="dxa" w:w="4968"/>
            <w:vAlign w:val="center"/>
          </w:tcPr>
          <w:p>
            <w:r>
              <w:t>POST</w:t>
            </w:r>
          </w:p>
        </w:tc>
      </w:tr>
      <w:tr>
        <w:tc>
          <w:tcPr>
            <w:tcW w:type="dxa" w:w="4968"/>
            <w:vAlign w:val="center"/>
          </w:tcPr>
          <w:p>
            <w:r>
              <w:t>Path</w:t>
            </w:r>
          </w:p>
        </w:tc>
        <w:tc>
          <w:tcPr>
            <w:tcW w:type="dxa" w:w="4968"/>
            <w:vAlign w:val="center"/>
          </w:tcPr>
          <w:p>
            <w:r>
              <w:t>/resolution/recommend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Content-Type</w:t>
            </w:r>
          </w:p>
        </w:tc>
        <w:tc>
          <w:tcPr>
            <w:tcW w:type="dxa" w:w="4968"/>
            <w:vAlign w:val="center"/>
          </w:tcPr>
          <w:p>
            <w:r>
              <w:t>application/json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 blueprint</w:t>
            </w:r>
          </w:p>
        </w:tc>
        <w:tc>
          <w:tcPr>
            <w:tcW w:type="dxa" w:w="4968"/>
            <w:vAlign w:val="center"/>
          </w:tcPr>
          <w:p>
            <w:r>
              <w:t>resolution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 API operation</w:t>
            </w:r>
          </w:p>
        </w:tc>
        <w:tc>
          <w:tcPr>
            <w:tcW w:type="dxa" w:w="4968"/>
            <w:vAlign w:val="center"/>
          </w:tcPr>
          <w:p>
            <w:r>
              <w:t>submitJson / useSubmitJsonMutation</w:t>
            </w:r>
          </w:p>
        </w:tc>
      </w:tr>
    </w:tbl>
    <w:p>
      <w:pPr>
        <w:pStyle w:val="Heading2"/>
      </w:pPr>
      <w:r>
        <w:t>Request body</w:t>
      </w:r>
    </w:p>
    <w:p>
      <w:r>
        <w:t>The implementation accepts a JSON object. The key routing field is sourceBrand. Other fields are source-specific and are interpreted according to the database configuration for that source.</w:t>
      </w:r>
    </w:p>
    <w:p>
      <w:pPr>
        <w:pStyle w:val="CodeBlock"/>
        <w:ind w:left="288" w:right="288"/>
      </w:pPr>
      <w:r>
        <w:t>{</w:t>
        <w:br/>
        <w:t xml:space="preserve">  "sourceBrand": "&lt;configured source brand&gt;",</w:t>
        <w:br/>
        <w:t xml:space="preserve">  "&lt;source-specific-field-1&gt;": "&lt;value&gt;",</w:t>
        <w:br/>
        <w:t xml:space="preserve">  "&lt;source-specific-field-2&gt;": "&lt;value&gt;",</w:t>
        <w:br/>
        <w:t xml:space="preserve">  "...": "..."</w:t>
        <w:br/>
        <w:t>}</w:t>
      </w:r>
    </w:p>
    <w:p>
      <w:pPr>
        <w:pStyle w:val="Heading2"/>
      </w:pPr>
      <w:r>
        <w:t>Request field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Required by implementation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484"/>
            <w:vAlign w:val="center"/>
          </w:tcPr>
          <w:p>
            <w:r>
              <w:t>sourceBrand</w:t>
            </w:r>
          </w:p>
        </w:tc>
        <w:tc>
          <w:tcPr>
            <w:tcW w:type="dxa" w:w="2484"/>
            <w:vAlign w:val="center"/>
          </w:tcPr>
          <w:p>
            <w:r>
              <w:t>Yes for successful routing</w:t>
            </w:r>
          </w:p>
        </w:tc>
        <w:tc>
          <w:tcPr>
            <w:tcW w:type="dxa" w:w="2484"/>
            <w:vAlign w:val="center"/>
          </w:tcPr>
          <w:p>
            <w:r>
              <w:t>string</w:t>
            </w:r>
          </w:p>
        </w:tc>
        <w:tc>
          <w:tcPr>
            <w:tcW w:type="dxa" w:w="2484"/>
            <w:vAlign w:val="center"/>
          </w:tcPr>
          <w:p>
            <w:r>
              <w:t>Identifies the alert/data source. Used to retrieve SourceConfig from the source_configs table.</w:t>
            </w:r>
          </w:p>
        </w:tc>
      </w:tr>
      <w:tr>
        <w:tc>
          <w:tcPr>
            <w:tcW w:type="dxa" w:w="2484"/>
            <w:vAlign w:val="center"/>
          </w:tcPr>
          <w:p>
            <w:r>
              <w:t>Source-specific fields</w:t>
            </w:r>
          </w:p>
        </w:tc>
        <w:tc>
          <w:tcPr>
            <w:tcW w:type="dxa" w:w="2484"/>
            <w:vAlign w:val="center"/>
          </w:tcPr>
          <w:p>
            <w:r>
              <w:t>Depends on SourceConfig</w:t>
            </w:r>
          </w:p>
        </w:tc>
        <w:tc>
          <w:tcPr>
            <w:tcW w:type="dxa" w:w="2484"/>
            <w:vAlign w:val="center"/>
          </w:tcPr>
          <w:p>
            <w:r>
              <w:t>object/string/number/etc.</w:t>
            </w:r>
          </w:p>
        </w:tc>
        <w:tc>
          <w:tcPr>
            <w:tcW w:type="dxa" w:w="2484"/>
            <w:vAlign w:val="center"/>
          </w:tcPr>
          <w:p>
            <w:r>
              <w:t>Values used by query_text_mapping and search_filter_keys. Exact fields are dynamically configured in the database.</w:t>
            </w:r>
          </w:p>
        </w:tc>
      </w:tr>
    </w:tbl>
    <w:p>
      <w:r>
        <w:t>The endpoint does not hard-code a single CrowdStrike request schema. Instead, it loads SourceConfig for sourceBrand and uses query_text_mapping to map incoming JSON paths into a query_text dictionary. search_filter_keys then determines which query values become retrieval filters.</w:t>
      </w:r>
    </w:p>
    <w:p>
      <w:pPr>
        <w:pStyle w:val="Heading2"/>
      </w:pPr>
      <w:r>
        <w:t>Processing flow</w:t>
      </w:r>
    </w:p>
    <w:p>
      <w:pPr>
        <w:pStyle w:val="ListNumber"/>
      </w:pPr>
      <w:r>
        <w:t>Parse the request JSON.</w:t>
      </w:r>
    </w:p>
    <w:p>
      <w:pPr>
        <w:pStyle w:val="ListNumber"/>
      </w:pPr>
      <w:r>
        <w:t>Read payload.sourceBrand.</w:t>
      </w:r>
    </w:p>
    <w:p>
      <w:pPr>
        <w:pStyle w:val="ListNumber"/>
      </w:pPr>
      <w:r>
        <w:t>Open a database session and look up SourceConfig by source_brand.</w:t>
      </w:r>
    </w:p>
    <w:p>
      <w:pPr>
        <w:pStyle w:val="ListNumber"/>
      </w:pPr>
      <w:r>
        <w:t>Return HTTP 500 if no SourceConfig exists for the supplied sourceBrand.</w:t>
      </w:r>
    </w:p>
    <w:p>
      <w:pPr>
        <w:pStyle w:val="ListNumber"/>
      </w:pPr>
      <w:r>
        <w:t>Build query_text dynamically from SourceConfig.query_text_mapping.</w:t>
      </w:r>
    </w:p>
    <w:p>
      <w:pPr>
        <w:pStyle w:val="ListNumber"/>
      </w:pPr>
      <w:r>
        <w:t>Build search_filters dynamically from SourceConfig.search_filter_keys.</w:t>
      </w:r>
    </w:p>
    <w:p>
      <w:pPr>
        <w:pStyle w:val="ListNumber"/>
      </w:pPr>
      <w:r>
        <w:t>Call fetch_recommendation_filtered(query_text, source_brand, filters).</w:t>
      </w:r>
    </w:p>
    <w:p>
      <w:pPr>
        <w:pStyle w:val="ListNumber"/>
      </w:pPr>
      <w:r>
        <w:t>Generate the final response through get_resolution(response).</w:t>
      </w:r>
    </w:p>
    <w:p>
      <w:pPr>
        <w:pStyle w:val="ListNumber"/>
      </w:pPr>
      <w:r>
        <w:t>Return the generated JSON response.</w:t>
      </w:r>
    </w:p>
    <w:p>
      <w:pPr>
        <w:pStyle w:val="ListNumber"/>
      </w:pPr>
      <w:r>
        <w:t>Close the database session in the finally block.</w:t>
      </w:r>
    </w:p>
    <w:p>
      <w:pPr>
        <w:pStyle w:val="Heading2"/>
      </w:pPr>
      <w:r>
        <w:t>Retrieval / recommendation behavior</w:t>
      </w:r>
    </w:p>
    <w:p>
      <w:r>
        <w:t>The resolution recommender uses the retrieved historical context to generate a recommendation. The current implementation includes hybrid retrieval and reranking components: semantic retrieval, BM25 keyword retrieval, and a local FlagReranker model. The recommendation prompt explicitly instructs the LLM to ground recommendations only in historical alert matches and not invent generic SOC playbooks.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Implementation behavior</w:t>
            </w:r>
          </w:p>
        </w:tc>
      </w:tr>
      <w:tr>
        <w:tc>
          <w:tcPr>
            <w:tcW w:type="dxa" w:w="4968"/>
            <w:vAlign w:val="center"/>
          </w:tcPr>
          <w:p>
            <w:r>
              <w:t>Dynamic routing</w:t>
            </w:r>
          </w:p>
        </w:tc>
        <w:tc>
          <w:tcPr>
            <w:tcW w:type="dxa" w:w="4968"/>
            <w:vAlign w:val="center"/>
          </w:tcPr>
          <w:p>
            <w:r>
              <w:t>SourceConfig selected using sourceBrand.</w:t>
            </w:r>
          </w:p>
        </w:tc>
      </w:tr>
      <w:tr>
        <w:tc>
          <w:tcPr>
            <w:tcW w:type="dxa" w:w="4968"/>
            <w:vAlign w:val="center"/>
          </w:tcPr>
          <w:p>
            <w:r>
              <w:t>Query construction</w:t>
            </w:r>
          </w:p>
        </w:tc>
        <w:tc>
          <w:tcPr>
            <w:tcW w:type="dxa" w:w="4968"/>
            <w:vAlign w:val="center"/>
          </w:tcPr>
          <w:p>
            <w:r>
              <w:t>Incoming payload fields are extracted using configured JSON paths.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Filtering</w:t>
            </w:r>
          </w:p>
        </w:tc>
        <w:tc>
          <w:tcPr>
            <w:tcW w:type="dxa" w:w="4968"/>
            <w:vAlign w:val="center"/>
          </w:tcPr>
          <w:p>
            <w:r>
              <w:t>Configured search_filter_keys become search filters when values are present.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Retrieval</w:t>
            </w:r>
          </w:p>
        </w:tc>
        <w:tc>
          <w:tcPr>
            <w:tcW w:type="dxa" w:w="4968"/>
            <w:vAlign w:val="center"/>
          </w:tcPr>
          <w:p>
            <w:r>
              <w:t>fetch_recommendation_filtered delegates to search_filtered_record.</w:t>
            </w:r>
          </w:p>
        </w:tc>
      </w:tr>
      <w:tr>
        <w:tc>
          <w:tcPr>
            <w:tcW w:type="dxa" w:w="4968"/>
            <w:vAlign w:val="center"/>
          </w:tcPr>
          <w:p>
            <w:r>
              <w:t>Hybrid retrieval</w:t>
            </w:r>
          </w:p>
        </w:tc>
        <w:tc>
          <w:tcPr>
            <w:tcW w:type="dxa" w:w="4968"/>
            <w:vAlign w:val="center"/>
          </w:tcPr>
          <w:p>
            <w:r>
              <w:t>Code contains semantic and BM25 retrieval logic.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Reranking</w:t>
            </w:r>
          </w:p>
        </w:tc>
        <w:tc>
          <w:tcPr>
            <w:tcW w:type="dxa" w:w="4968"/>
            <w:vAlign w:val="center"/>
          </w:tcPr>
          <w:p>
            <w:r>
              <w:t>FlagReranker using ms-marco-MiniLM-L-6-v2 is instantiated.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Recommendation generation</w:t>
            </w:r>
          </w:p>
        </w:tc>
        <w:tc>
          <w:tcPr>
            <w:tcW w:type="dxa" w:w="4968"/>
            <w:vAlign w:val="center"/>
          </w:tcPr>
          <w:p>
            <w:r>
              <w:t>get_resolution builds a structured prompt and invokes the configured LLM.</w:t>
            </w:r>
          </w:p>
        </w:tc>
      </w:tr>
      <w:tr>
        <w:tc>
          <w:tcPr>
            <w:tcW w:type="dxa" w:w="4968"/>
            <w:vAlign w:val="center"/>
          </w:tcPr>
          <w:p>
            <w:r>
              <w:t>Grounding rule</w:t>
            </w:r>
          </w:p>
        </w:tc>
        <w:tc>
          <w:tcPr>
            <w:tcW w:type="dxa" w:w="4968"/>
            <w:vAlign w:val="center"/>
          </w:tcPr>
          <w:p>
            <w:r>
              <w:t>Recommendation should be based only on historical alert matches.</w:t>
            </w:r>
          </w:p>
        </w:tc>
      </w:tr>
    </w:tbl>
    <w:p>
      <w:pPr>
        <w:pStyle w:val="Heading2"/>
      </w:pPr>
      <w:r>
        <w:t>Response</w:t>
      </w:r>
    </w:p>
    <w:p>
      <w:r>
        <w:t>The backend returns the JSON produced by get_resolution. The expected structured output defined in the recommendation prompt is:</w:t>
      </w:r>
    </w:p>
    <w:p>
      <w:pPr>
        <w:pStyle w:val="CodeBlock"/>
        <w:ind w:left="288" w:right="288"/>
      </w:pPr>
      <w:r>
        <w:t>{</w:t>
        <w:br/>
        <w:t xml:space="preserve">  "summary": "&lt;short explanation of similarity with historical alerts&gt;",</w:t>
        <w:br/>
        <w:t xml:space="preserve">  "investigation_steps_recommended": [</w:t>
        <w:br/>
        <w:t xml:space="preserve">    "&lt;step 1&gt;",</w:t>
        <w:br/>
        <w:t xml:space="preserve">    "&lt;step 2&gt;"</w:t>
        <w:br/>
        <w:t xml:space="preserve">  ],</w:t>
        <w:br/>
        <w:t xml:space="preserve">  "key_indicators": [</w:t>
        <w:br/>
        <w:t xml:space="preserve">    "&lt;indicator 1&gt;",</w:t>
        <w:br/>
        <w:t xml:space="preserve">    "&lt;indicator 2&gt;"</w:t>
        <w:br/>
        <w:t xml:space="preserve">  ],</w:t>
        <w:br/>
        <w:t xml:space="preserve">  "likely_root_cause": "&lt;historical-data-based root cause or Not available&gt;",</w:t>
        <w:br/>
        <w:t xml:space="preserve">  "recommended_actions": [</w:t>
        <w:br/>
        <w:t xml:space="preserve">    "&lt;action 1&gt;",</w:t>
        <w:br/>
        <w:t xml:space="preserve">    "&lt;action 2&gt;"</w:t>
        <w:br/>
        <w:t xml:space="preserve">  ],</w:t>
        <w:br/>
        <w:t xml:space="preserve">  "confidence": "&lt;High | Medium | Low&gt;",</w:t>
        <w:br/>
        <w:t xml:space="preserve">  "notes": "&lt;mention if limited or no matches found&gt;",</w:t>
        <w:br/>
        <w:t xml:space="preserve">  "recommendation_available": true</w:t>
        <w:br/>
        <w:t>}</w:t>
      </w:r>
    </w:p>
    <w:p>
      <w:pPr>
        <w:pStyle w:val="Heading2"/>
      </w:pPr>
      <w:r>
        <w:t>No-history / weak-match behavior</w:t>
      </w:r>
    </w:p>
    <w:p>
      <w:r>
        <w:t>The recommendation prompt contains an explicit no-historical-match rule. If historical matches are empty or irrelevant, the LLM is instructed not to generate investigative recommendations, remediation steps, or inferred indicators. The response structure remains unchanged and recommendation_available should be false.</w:t>
      </w:r>
    </w:p>
    <w:p>
      <w:pPr>
        <w:pStyle w:val="Heading2"/>
      </w:pPr>
      <w:r>
        <w:t>Frontend integration</w:t>
      </w:r>
    </w:p>
    <w:p>
      <w:pPr>
        <w:pStyle w:val="CodeBlock"/>
        <w:ind w:left="288" w:right="288"/>
      </w:pPr>
      <w:r>
        <w:t>const submitJson = builder.mutation&lt;any, string | Record&lt;string, any&gt;&gt;({</w:t>
        <w:br/>
        <w:t xml:space="preserve">  query: (payload) =&gt; ({</w:t>
        <w:br/>
        <w:t xml:space="preserve">    url: "/resolution/recommend",</w:t>
        <w:br/>
        <w:t xml:space="preserve">    method: "POST",</w:t>
        <w:br/>
        <w:t xml:space="preserve">    headers: {</w:t>
        <w:br/>
        <w:t xml:space="preserve">      "Content-Type": "application/json",</w:t>
        <w:br/>
        <w:t xml:space="preserve">    },</w:t>
        <w:br/>
        <w:t xml:space="preserve">    body: typeof payload === "string"</w:t>
        <w:br/>
        <w:t xml:space="preserve">      ? payload</w:t>
        <w:br/>
        <w:t xml:space="preserve">      : JSON.stringify(payload),</w:t>
        <w:br/>
        <w:t xml:space="preserve">  }),</w:t>
        <w:br/>
        <w:t>});</w:t>
      </w:r>
    </w:p>
    <w:p>
      <w:r>
        <w:t>The JSON input page validates that the entered text is valid JSON before invoking useSubmitJsonMutation. The UI reads fields such as summary, likely_root_cause, key_indicators, investigation_steps_recommended, recommended_actions, notes, and investigation_conclusion when present.</w:t>
      </w:r>
    </w:p>
    <w:p>
      <w:pPr>
        <w:pStyle w:val="Heading1"/>
      </w:pPr>
      <w:r>
        <w:t>4. Existing DQ Check APIs</w:t>
      </w:r>
    </w:p>
    <w:p>
      <w:r>
        <w:t>The following four endpoints are documented in the supplied API specification and are also represented in the frontend API client.</w:t>
      </w:r>
    </w:p>
    <w:p>
      <w:pPr>
        <w:pStyle w:val="Heading2"/>
      </w:pPr>
      <w:r>
        <w:t>4.1 POST /dqCheck/recommendInvestigationAnalysis</w:t>
      </w:r>
    </w:p>
    <w:p>
      <w:r>
        <w:t>Generates an AI-driven investigation-analysis recommendation from alert telemetry and an optional analyst draft.</w:t>
      </w:r>
    </w:p>
    <w:p>
      <w:pPr>
        <w:pStyle w:val="CodeBlock"/>
        <w:ind w:left="288" w:right="288"/>
      </w:pPr>
      <w:r>
        <w:t>{</w:t>
        <w:br/>
        <w:t xml:space="preserve">  "sourceBrand": "CrowdstrikeFalcon",</w:t>
        <w:br/>
        <w:t xml:space="preserve">  "investigation_analysis": "Draft investigation notes...",</w:t>
        <w:br/>
        <w:t xml:space="preserve">  "Alert_details": {</w:t>
        <w:br/>
        <w:t xml:space="preserve">    "CrowdStrike": {</w:t>
        <w:br/>
        <w:t xml:space="preserve">      "...": "alert telemetry"</w:t>
        <w:br/>
        <w:t xml:space="preserve">    }</w:t>
        <w:br/>
        <w:t xml:space="preserve">  }</w:t>
        <w:br/>
        <w:t>}</w:t>
      </w:r>
    </w:p>
    <w:p>
      <w:pPr>
        <w:pStyle w:val="CodeBlock"/>
        <w:ind w:left="288" w:right="288"/>
      </w:pPr>
      <w:r>
        <w:t>{</w:t>
        <w:br/>
        <w:t xml:space="preserve">  "success": true,</w:t>
        <w:br/>
        <w:t xml:space="preserve">  "investigation_recommendation": {</w:t>
        <w:br/>
        <w:t xml:space="preserve">    "Investigation Summary": "...",</w:t>
        <w:br/>
        <w:t xml:space="preserve">    "Detection Context": "...",</w:t>
        <w:br/>
        <w:t xml:space="preserve">    "Analysis Performed": "...",</w:t>
        <w:br/>
        <w:t xml:space="preserve">    "Findings": "...",</w:t>
        <w:br/>
        <w:t xml:space="preserve">    "Conclusion": "..."</w:t>
        <w:br/>
        <w:t xml:space="preserve">  }</w:t>
        <w:br/>
        <w:t>}</w:t>
      </w:r>
    </w:p>
    <w:p>
      <w:pPr>
        <w:pStyle w:val="Heading2"/>
      </w:pPr>
      <w:r>
        <w:t>4.2 POST /dqCheck/recommendClosingNote</w:t>
      </w:r>
    </w:p>
    <w:p>
      <w:r>
        <w:t>Generates a structured closing note suitable for alert closure.</w:t>
      </w:r>
    </w:p>
    <w:p>
      <w:pPr>
        <w:pStyle w:val="CodeBlock"/>
        <w:ind w:left="288" w:right="288"/>
      </w:pPr>
      <w:r>
        <w:t>{</w:t>
        <w:br/>
        <w:t xml:space="preserve">  "sourceBrand": "CrowdstrikeFalcon",</w:t>
        <w:br/>
        <w:t xml:space="preserve">  "closing_note": "False positive, standard logon sequence. Macro was blocked.",</w:t>
        <w:br/>
        <w:t xml:space="preserve">  "Alert_details": {</w:t>
        <w:br/>
        <w:t xml:space="preserve">    "CrowdStrike": {</w:t>
        <w:br/>
        <w:t xml:space="preserve">      "...": "alert telemetry"</w:t>
        <w:br/>
        <w:t xml:space="preserve">    }</w:t>
        <w:br/>
        <w:t xml:space="preserve">  }</w:t>
        <w:br/>
        <w:t>}</w:t>
      </w:r>
    </w:p>
    <w:p>
      <w:pPr>
        <w:pStyle w:val="CodeBlock"/>
        <w:ind w:left="288" w:right="288"/>
      </w:pPr>
      <w:r>
        <w:t>{</w:t>
        <w:br/>
        <w:t xml:space="preserve">  "success": true,</w:t>
        <w:br/>
        <w:t xml:space="preserve">  "close_note_recommendation": {</w:t>
        <w:br/>
        <w:t xml:space="preserve">    "Alert": "...",</w:t>
        <w:br/>
        <w:t xml:space="preserve">    "Disposition": "...",</w:t>
        <w:br/>
        <w:t xml:space="preserve">    "Impact": "...",</w:t>
        <w:br/>
        <w:t xml:space="preserve">    "Actions Taken": "...",</w:t>
        <w:br/>
        <w:t xml:space="preserve">    "Closure Justification": "..."</w:t>
        <w:br/>
        <w:t xml:space="preserve">  }</w:t>
        <w:br/>
        <w:t>}</w:t>
      </w:r>
    </w:p>
    <w:p>
      <w:pPr>
        <w:pStyle w:val="Heading2"/>
      </w:pPr>
      <w:r>
        <w:t>4.3 POST /dqCheck/validateInvestigationAnalysis</w:t>
      </w:r>
    </w:p>
    <w:p>
      <w:pPr>
        <w:pStyle w:val="CodeBlock"/>
        <w:ind w:left="288" w:right="288"/>
      </w:pPr>
      <w:r>
        <w:t>{</w:t>
        <w:br/>
        <w:t xml:space="preserve">  "sourceBrand": "CrowdstrikeFalcon",</w:t>
        <w:br/>
        <w:t xml:space="preserve">  "investigation_analysis": "The alert was triggered due to execution of an Excel macro...",</w:t>
        <w:br/>
        <w:t xml:space="preserve">  "Alert_details": {</w:t>
        <w:br/>
        <w:t xml:space="preserve">    "CrowdStrike": {</w:t>
        <w:br/>
        <w:t xml:space="preserve">      "...": "alert telemetry"</w:t>
        <w:br/>
        <w:t xml:space="preserve">    }</w:t>
        <w:br/>
        <w:t xml:space="preserve">  }</w:t>
        <w:br/>
        <w:t>}</w:t>
      </w:r>
    </w:p>
    <w:p>
      <w:pPr>
        <w:pStyle w:val="CodeBlock"/>
        <w:ind w:left="288" w:right="288"/>
      </w:pPr>
      <w:r>
        <w:t>{</w:t>
        <w:br/>
        <w:t xml:space="preserve">  "classification": "RELEVANT_BUT_FORMAT_INVALID",</w:t>
        <w:br/>
        <w:t xml:space="preserve">  "content_relevant": true,</w:t>
        <w:br/>
        <w:t xml:space="preserve">  "explanation": "...",</w:t>
        <w:br/>
        <w:t xml:space="preserve">  "format_valid": false</w:t>
        <w:br/>
        <w:t>}</w:t>
      </w:r>
    </w:p>
    <w:p>
      <w:pPr>
        <w:pStyle w:val="Heading2"/>
      </w:pPr>
      <w:r>
        <w:t>4.4 POST /dqCheck/validateClosingNote</w:t>
      </w:r>
    </w:p>
    <w:p>
      <w:pPr>
        <w:pStyle w:val="CodeBlock"/>
        <w:ind w:left="288" w:right="288"/>
      </w:pPr>
      <w:r>
        <w:t>{</w:t>
        <w:br/>
        <w:t xml:space="preserve">  "sourceBrand": "CrowdstrikeFalcon",</w:t>
        <w:br/>
        <w:t xml:space="preserve">  "closing_note": "Alert: Suspicious macro execution\nDisposition: False Positive\n...",</w:t>
        <w:br/>
        <w:t xml:space="preserve">  "Alert_details": {</w:t>
        <w:br/>
        <w:t xml:space="preserve">    "CrowdStrike": {</w:t>
        <w:br/>
        <w:t xml:space="preserve">      "...": "alert telemetry"</w:t>
        <w:br/>
        <w:t xml:space="preserve">    }</w:t>
        <w:br/>
        <w:t xml:space="preserve">  }</w:t>
        <w:br/>
        <w:t>}</w:t>
      </w:r>
    </w:p>
    <w:p>
      <w:pPr>
        <w:pStyle w:val="CodeBlock"/>
        <w:ind w:left="288" w:right="288"/>
      </w:pPr>
      <w:r>
        <w:t>{</w:t>
        <w:br/>
        <w:t xml:space="preserve">  "classification": "VALID",</w:t>
        <w:br/>
        <w:t xml:space="preserve">  "content_relevant": true,</w:t>
        <w:br/>
        <w:t xml:space="preserve">  "explanation": "...",</w:t>
        <w:br/>
        <w:t xml:space="preserve">  "format_valid": true</w:t>
        <w:br/>
        <w:t>}</w:t>
      </w:r>
    </w:p>
    <w:p>
      <w:pPr>
        <w:pStyle w:val="Heading1"/>
      </w:pPr>
      <w:r>
        <w:t>5.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312"/>
            <w:vAlign w:val="center"/>
            <w:shd w:fill="1F4E78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3312"/>
            <w:vAlign w:val="center"/>
            <w:shd w:fill="1F4E78"/>
          </w:tcPr>
          <w:p>
            <w:r>
              <w:rPr>
                <w:b/>
                <w:color w:val="FFFFFF"/>
              </w:rPr>
              <w:t>Observed response</w:t>
            </w:r>
          </w:p>
        </w:tc>
      </w:tr>
      <w:tr>
        <w:tc>
          <w:tcPr>
            <w:tcW w:type="dxa" w:w="3312"/>
            <w:vAlign w:val="center"/>
          </w:tcPr>
          <w:p>
            <w:r>
              <w:t>/resolution/recommend</w:t>
            </w:r>
          </w:p>
        </w:tc>
        <w:tc>
          <w:tcPr>
            <w:tcW w:type="dxa" w:w="3312"/>
            <w:vAlign w:val="center"/>
          </w:tcPr>
          <w:p>
            <w:r>
              <w:t>No SourceConfig for sourceBrand</w:t>
            </w:r>
          </w:p>
        </w:tc>
        <w:tc>
          <w:tcPr>
            <w:tcW w:type="dxa" w:w="3312"/>
            <w:vAlign w:val="center"/>
          </w:tcPr>
          <w:p>
            <w:r>
              <w:t>HTTP 500 with error field.</w:t>
            </w:r>
          </w:p>
        </w:tc>
      </w:tr>
      <w:tr>
        <w:tc>
          <w:tcPr>
            <w:tcW w:type="dxa" w:w="3312"/>
            <w:vAlign w:val="center"/>
          </w:tcPr>
          <w:p>
            <w:r>
              <w:t>/resolution/recommend</w:t>
            </w:r>
          </w:p>
        </w:tc>
        <w:tc>
          <w:tcPr>
            <w:tcW w:type="dxa" w:w="3312"/>
            <w:vAlign w:val="center"/>
          </w:tcPr>
          <w:p>
            <w:r>
              <w:t>Unhandled processing exception</w:t>
            </w:r>
          </w:p>
        </w:tc>
        <w:tc>
          <w:tcPr>
            <w:tcW w:type="dxa" w:w="3312"/>
            <w:vAlign w:val="center"/>
          </w:tcPr>
          <w:p>
            <w:r>
              <w:t>HTTP 500 with error and message fields.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/dqCheck/recommendInvestigationAnalysis</w:t>
            </w:r>
          </w:p>
        </w:tc>
        <w:tc>
          <w:tcPr>
            <w:tcW w:type="dxa" w:w="3312"/>
            <w:vAlign w:val="center"/>
          </w:tcPr>
          <w:p>
            <w:r>
              <w:t>Recommendation exception</w:t>
            </w:r>
          </w:p>
        </w:tc>
        <w:tc>
          <w:tcPr>
            <w:tcW w:type="dxa" w:w="3312"/>
            <w:vAlign w:val="center"/>
          </w:tcPr>
          <w:p>
            <w:r>
              <w:t>HTTP 400 with msg field.</w:t>
            </w:r>
          </w:p>
        </w:tc>
      </w:tr>
      <w:tr>
        <w:tc>
          <w:tcPr>
            <w:tcW w:type="dxa" w:w="3312"/>
            <w:vAlign w:val="center"/>
          </w:tcPr>
          <w:p>
            <w:r>
              <w:t>/dqCheck/recommendClosingNote</w:t>
            </w:r>
          </w:p>
        </w:tc>
        <w:tc>
          <w:tcPr>
            <w:tcW w:type="dxa" w:w="3312"/>
            <w:vAlign w:val="center"/>
          </w:tcPr>
          <w:p>
            <w:r>
              <w:t>Recommendation exception</w:t>
            </w:r>
          </w:p>
        </w:tc>
        <w:tc>
          <w:tcPr>
            <w:tcW w:type="dxa" w:w="3312"/>
            <w:vAlign w:val="center"/>
          </w:tcPr>
          <w:p>
            <w:r>
              <w:t>HTTP 400 with msg field.</w:t>
            </w:r>
          </w:p>
        </w:tc>
      </w:tr>
      <w:tr>
        <w:tc>
          <w:tcPr>
            <w:tcW w:type="dxa" w:w="3312"/>
            <w:vAlign w:val="center"/>
          </w:tcPr>
          <w:p>
            <w:r>
              <w:t>/dqCheck/validateInvestigationAnalysis</w:t>
            </w:r>
          </w:p>
        </w:tc>
        <w:tc>
          <w:tcPr>
            <w:tcW w:type="dxa" w:w="3312"/>
            <w:vAlign w:val="center"/>
          </w:tcPr>
          <w:p>
            <w:r>
              <w:t>Validation exception</w:t>
            </w:r>
          </w:p>
        </w:tc>
        <w:tc>
          <w:tcPr>
            <w:tcW w:type="dxa" w:w="3312"/>
            <w:vAlign w:val="center"/>
          </w:tcPr>
          <w:p>
            <w:r>
              <w:t>HTTP 400 with msg field.</w:t>
            </w:r>
          </w:p>
        </w:tc>
      </w:tr>
      <w:tr>
        <w:tc>
          <w:tcPr>
            <w:tcW w:type="dxa" w:w="3312"/>
            <w:vAlign w:val="center"/>
          </w:tcPr>
          <w:p>
            <w:r>
              <w:t>/dqCheck/validateClosingNote</w:t>
            </w:r>
          </w:p>
        </w:tc>
        <w:tc>
          <w:tcPr>
            <w:tcW w:type="dxa" w:w="3312"/>
            <w:vAlign w:val="center"/>
          </w:tcPr>
          <w:p>
            <w:r>
              <w:t>Validation exception</w:t>
            </w:r>
          </w:p>
        </w:tc>
        <w:tc>
          <w:tcPr>
            <w:tcW w:type="dxa" w:w="3312"/>
            <w:vAlign w:val="center"/>
          </w:tcPr>
          <w:p>
            <w:r>
              <w:t>HTTP 400 with msg field.</w:t>
            </w:r>
          </w:p>
        </w:tc>
      </w:tr>
    </w:tbl>
    <w:p>
      <w:pPr>
        <w:pStyle w:val="Heading1"/>
      </w:pPr>
      <w:r>
        <w:t>6. Frontend API Usage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Frontend operation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HTTP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2484"/>
            <w:vAlign w:val="center"/>
            <w:shd w:fill="1F4E78"/>
          </w:tcPr>
          <w:p>
            <w:r>
              <w:rPr>
                <w:b/>
                <w:color w:val="FFFFFF"/>
              </w:rPr>
              <w:t>Body</w:t>
            </w:r>
          </w:p>
        </w:tc>
      </w:tr>
      <w:tr>
        <w:tc>
          <w:tcPr>
            <w:tcW w:type="dxa" w:w="2484"/>
            <w:vAlign w:val="center"/>
          </w:tcPr>
          <w:p>
            <w:r>
              <w:t>useSubmitJsonMutation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/resolution/recommend</w:t>
            </w:r>
          </w:p>
        </w:tc>
        <w:tc>
          <w:tcPr>
            <w:tcW w:type="dxa" w:w="2484"/>
            <w:vAlign w:val="center"/>
          </w:tcPr>
          <w:p>
            <w:r>
              <w:t>JSON string or JSON object</w:t>
            </w:r>
          </w:p>
        </w:tc>
      </w:tr>
      <w:tr>
        <w:tc>
          <w:tcPr>
            <w:tcW w:type="dxa" w:w="2484"/>
            <w:vAlign w:val="center"/>
          </w:tcPr>
          <w:p>
            <w:r>
              <w:t>useGenerateInvestigationAnalysisMutation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/dqCheck/recommendInvestigationAnalysis</w:t>
            </w:r>
          </w:p>
        </w:tc>
        <w:tc>
          <w:tcPr>
            <w:tcW w:type="dxa" w:w="2484"/>
            <w:vAlign w:val="center"/>
          </w:tcPr>
          <w:p>
            <w:r>
              <w:t>JSON</w:t>
            </w:r>
          </w:p>
        </w:tc>
      </w:tr>
      <w:tr>
        <w:tc>
          <w:tcPr>
            <w:tcW w:type="dxa" w:w="2484"/>
            <w:vAlign w:val="center"/>
          </w:tcPr>
          <w:p>
            <w:r>
              <w:t>useGenerateClosingNoteMutation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/dqCheck/recommendClosingNote</w:t>
            </w:r>
          </w:p>
        </w:tc>
        <w:tc>
          <w:tcPr>
            <w:tcW w:type="dxa" w:w="2484"/>
            <w:vAlign w:val="center"/>
          </w:tcPr>
          <w:p>
            <w:r>
              <w:t>JSON</w:t>
            </w:r>
          </w:p>
        </w:tc>
      </w:tr>
      <w:tr>
        <w:tc>
          <w:tcPr>
            <w:tcW w:type="dxa" w:w="2484"/>
            <w:vAlign w:val="center"/>
          </w:tcPr>
          <w:p>
            <w:r>
              <w:t>useValidateInvestigationAnalysisMutation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/dqCheck/validateInvestigationAnalysis</w:t>
            </w:r>
          </w:p>
        </w:tc>
        <w:tc>
          <w:tcPr>
            <w:tcW w:type="dxa" w:w="2484"/>
            <w:vAlign w:val="center"/>
          </w:tcPr>
          <w:p>
            <w:r>
              <w:t>JSON</w:t>
            </w:r>
          </w:p>
        </w:tc>
      </w:tr>
      <w:tr>
        <w:tc>
          <w:tcPr>
            <w:tcW w:type="dxa" w:w="2484"/>
            <w:vAlign w:val="center"/>
          </w:tcPr>
          <w:p>
            <w:r>
              <w:t>useValidateClosingNoteMutation</w:t>
            </w:r>
          </w:p>
        </w:tc>
        <w:tc>
          <w:tcPr>
            <w:tcW w:type="dxa" w:w="2484"/>
            <w:vAlign w:val="center"/>
          </w:tcPr>
          <w:p>
            <w:r>
              <w:t>POST</w:t>
            </w:r>
          </w:p>
        </w:tc>
        <w:tc>
          <w:tcPr>
            <w:tcW w:type="dxa" w:w="2484"/>
            <w:vAlign w:val="center"/>
          </w:tcPr>
          <w:p>
            <w:r>
              <w:t>/dqCheck/validateClosingNote</w:t>
            </w:r>
          </w:p>
        </w:tc>
        <w:tc>
          <w:tcPr>
            <w:tcW w:type="dxa" w:w="2484"/>
            <w:vAlign w:val="center"/>
          </w:tcPr>
          <w:p>
            <w:r>
              <w:t>JSON</w:t>
            </w:r>
          </w:p>
        </w:tc>
      </w:tr>
    </w:tbl>
    <w:p>
      <w:pPr>
        <w:pStyle w:val="Heading1"/>
      </w:pPr>
      <w:r>
        <w:t>7. Source Configuration Model for /recommend</w:t>
      </w:r>
    </w:p>
    <w:p>
      <w:r>
        <w:t>The backend SourceConfig model defines the database-driven routing metadata used by /resolution/recommend.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968"/>
            <w:vAlign w:val="center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source_brand</w:t>
            </w:r>
          </w:p>
        </w:tc>
        <w:tc>
          <w:tcPr>
            <w:tcW w:type="dxa" w:w="4968"/>
            <w:vAlign w:val="center"/>
          </w:tcPr>
          <w:p>
            <w:r>
              <w:t>Primary key identifying the alert/data source.</w:t>
            </w:r>
          </w:p>
        </w:tc>
      </w:tr>
      <w:tr>
        <w:tc>
          <w:tcPr>
            <w:tcW w:type="dxa" w:w="4968"/>
            <w:vAlign w:val="center"/>
          </w:tcPr>
          <w:p>
            <w:r>
              <w:t>chroma_collection</w:t>
            </w:r>
          </w:p>
        </w:tc>
        <w:tc>
          <w:tcPr>
            <w:tcW w:type="dxa" w:w="4968"/>
            <w:vAlign w:val="center"/>
          </w:tcPr>
          <w:p>
            <w:r>
              <w:t>Configured Chroma collection name.</w:t>
            </w:r>
          </w:p>
        </w:tc>
      </w:tr>
      <w:tr>
        <w:tc>
          <w:tcPr>
            <w:tcW w:type="dxa" w:w="4968"/>
            <w:vAlign w:val="center"/>
          </w:tcPr>
          <w:p>
            <w:r>
              <w:t>bm25_folder</w:t>
            </w:r>
          </w:p>
        </w:tc>
        <w:tc>
          <w:tcPr>
            <w:tcW w:type="dxa" w:w="4968"/>
            <w:vAlign w:val="center"/>
          </w:tcPr>
          <w:p>
            <w:r>
              <w:t>Configured BM25 data folder.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embedding_fields</w:t>
            </w:r>
          </w:p>
        </w:tc>
        <w:tc>
          <w:tcPr>
            <w:tcW w:type="dxa" w:w="4968"/>
            <w:vAlign w:val="center"/>
          </w:tcPr>
          <w:p>
            <w:r>
              <w:t>JSON configuration for embedding-related fields.</w:t>
            </w:r>
          </w:p>
        </w:tc>
      </w:tr>
      <w:tr>
        <w:tc>
          <w:tcPr>
            <w:tcW w:type="dxa" w:w="4968"/>
            <w:vAlign w:val="center"/>
          </w:tcPr>
          <w:p>
            <w:r>
              <w:t>metadata_fields</w:t>
            </w:r>
          </w:p>
        </w:tc>
        <w:tc>
          <w:tcPr>
            <w:tcW w:type="dxa" w:w="4968"/>
            <w:vAlign w:val="center"/>
          </w:tcPr>
          <w:p>
            <w:r>
              <w:t>JSON configuration for metadata fields.</w:t>
            </w:r>
          </w:p>
        </w:tc>
      </w:tr>
      <w:tr>
        <w:tc>
          <w:tcPr>
            <w:tcW w:type="dxa" w:w="4968"/>
            <w:vAlign w:val="center"/>
          </w:tcPr>
          <w:p>
            <w:r>
              <w:t>query_text_mapping</w:t>
            </w:r>
          </w:p>
        </w:tc>
        <w:tc>
          <w:tcPr>
            <w:tcW w:type="dxa" w:w="4968"/>
            <w:vAlign w:val="center"/>
          </w:tcPr>
          <w:p>
            <w:r>
              <w:t>Maps output query keys to paths in the incoming request payload.</w:t>
            </w:r>
          </w:p>
        </w:tc>
      </w:tr>
      <w:tr>
        <w:tc>
          <w:tcPr>
            <w:tcW w:type="dxa" w:w="4968"/>
            <w:vAlign w:val="center"/>
          </w:tcPr>
          <w:p>
            <w:r>
              <w:t>search_filter_keys</w:t>
            </w:r>
          </w:p>
        </w:tc>
        <w:tc>
          <w:tcPr>
            <w:tcW w:type="dxa" w:w="4968"/>
            <w:vAlign w:val="center"/>
          </w:tcPr>
          <w:p>
            <w:r>
              <w:t>Lists query fields to use as retrieval filters.</w:t>
            </w:r>
          </w:p>
        </w:tc>
      </w:tr>
    </w:tbl>
    <w:p>
      <w:pPr>
        <w:pStyle w:val="Heading1"/>
      </w:pPr>
      <w:r>
        <w:t>8. Example End-to-End Call</w:t>
      </w:r>
    </w:p>
    <w:p>
      <w:pPr>
        <w:pStyle w:val="CodeBlock"/>
        <w:ind w:left="288" w:right="288"/>
      </w:pPr>
      <w:r>
        <w:t>POST &lt;VITE_API_BASE_URL&gt;/resolution/recommend</w:t>
        <w:br/>
        <w:t>Content-Type: application/json</w:t>
        <w:br/>
        <w:br/>
        <w:t>{</w:t>
        <w:br/>
        <w:t xml:space="preserve">  "sourceBrand": "CrowdstrikeFalcon",</w:t>
        <w:br/>
        <w:t xml:space="preserve">  "alert": {</w:t>
        <w:br/>
        <w:t xml:space="preserve">    "detection": {</w:t>
        <w:br/>
        <w:t xml:space="preserve">      "tactic": "Machine Learning",</w:t>
        <w:br/>
        <w:t xml:space="preserve">      "technique": "Cloud-based ML",</w:t>
        <w:br/>
        <w:t xml:space="preserve">      "filename": "explorer.exe"</w:t>
        <w:br/>
        <w:t xml:space="preserve">    }</w:t>
        <w:br/>
        <w:t xml:space="preserve">  }</w:t>
        <w:br/>
        <w:t>}</w:t>
      </w:r>
    </w:p>
    <w:p>
      <w:r>
        <w:t>The exact source-specific field names must match the SourceConfig.query_text_mapping stored for the selected sourceBrand. The example above is illustrative of the request shape only; the codebase does not establish a universal alert schema for every source.</w:t>
      </w:r>
    </w:p>
    <w:p>
      <w:pPr>
        <w:pStyle w:val="Heading1"/>
      </w:pPr>
      <w:r>
        <w:t>9. Implementation Notes &amp; Caveats</w:t>
      </w:r>
    </w:p>
    <w:p>
      <w:pPr>
        <w:pStyle w:val="ListBullet"/>
      </w:pPr>
      <w:r>
        <w:t>The /recommend API is implemented under /resolution, whereas the four DQ Check APIs are under /dqCheck.</w:t>
      </w:r>
    </w:p>
    <w:p>
      <w:pPr>
        <w:pStyle w:val="ListBullet"/>
      </w:pPr>
      <w:r>
        <w:t>The /recommend request contract is intentionally dynamic; query fields are controlled by database configuration rather than a fixed Pydantic/OpenAPI model.</w:t>
      </w:r>
    </w:p>
    <w:p>
      <w:pPr>
        <w:pStyle w:val="ListBullet"/>
      </w:pPr>
      <w:r>
        <w:t>The frontend API base URL is supplied through VITE_API_BASE_URL in the API client. A separate local API constant in the frontend source contains http://localhost:8080/ismartService, but the RTK Query client uses VITE_API_BASE_URL.</w:t>
      </w:r>
    </w:p>
    <w:p>
      <w:pPr>
        <w:pStyle w:val="ListBullet"/>
      </w:pPr>
      <w:r>
        <w:t>The supplied text file describes /dqCheck/recommendInvestigationAnalysis as using ChromaDB and BM25. The current /resolution/recommend implementation additionally contains hybrid retrieval/reranking code and database-driven source routing.</w:t>
      </w:r>
    </w:p>
    <w:p>
      <w:pPr>
        <w:pStyle w:val="ListBullet"/>
      </w:pPr>
      <w:r>
        <w:t>The generated recommendation is expected to be valid JSON according to the prompt in get_resolution.</w:t>
      </w:r>
    </w:p>
    <w:p>
      <w:pPr>
        <w:pStyle w:val="ListBullet"/>
      </w:pPr>
      <w:r>
        <w:t>No authentication/authorization contract for these endpoints was identified in the supplied backend/frontend files, so this document does not assert one.</w:t>
      </w:r>
    </w:p>
    <w:p>
      <w:pPr>
        <w:pStyle w:val="Heading1"/>
      </w:pPr>
      <w:r>
        <w:t>10. Document Basis</w:t>
      </w:r>
    </w:p>
    <w:p>
      <w:r>
        <w:t>Prepared from the supplied api_docmentation.txt, BackendNew-reranker(1).zip, and Frontend_(1).zip. Endpoint paths, request handling, response structures, routing logic, and frontend calls were derived from the supplied materials.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API Documentation • Backend + Frontend reviewed from supplied codebase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SOC Resolution Recommender • API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