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 Forecaster Agent</w:t>
        <w:br/>
        <w:t>Technical Architecture &amp; Implementation Guide</w:t>
      </w:r>
    </w:p>
    <w:p>
      <w:pPr>
        <w:pStyle w:val="Heading1"/>
      </w:pPr>
      <w:r>
        <w:t>1. Overview</w:t>
      </w:r>
    </w:p>
    <w:p>
      <w:r>
        <w:t>The Issue Forecaster Agent is an AI-powered predictive observability component designed to proactively detect service degradation by analyzing operational logs, dynamically adapting thresholds, and correlating current symptoms with historical knowledge (KEDB) using Retrieval Augmented Generation (RAG).</w:t>
      </w:r>
    </w:p>
    <w:p>
      <w:pPr>
        <w:pStyle w:val="Heading1"/>
      </w:pPr>
      <w:r>
        <w:t>2. High-Level Architecture</w:t>
      </w:r>
    </w:p>
    <w:p>
      <w:r>
        <w:t>The agent ingests logs from sources such as Splunk or application log files, performs structured collation, evaluates adaptive thresholds, retrieves historical context from a vector database (ChromaDB), and applies LLM reasoning to produce actionable forecasts.</w:t>
      </w:r>
    </w:p>
    <w:p>
      <w:pPr>
        <w:pStyle w:val="Heading1"/>
      </w:pPr>
      <w:r>
        <w:t>3. Core Design Concepts</w:t>
      </w:r>
    </w:p>
    <w:p>
      <w:r>
        <w:t>The system focuses on log-driven intelligence, structured error pattern analysis, and separation of deterministic alerting from AI reasoning.</w:t>
      </w:r>
    </w:p>
    <w:p>
      <w:pPr>
        <w:pStyle w:val="Heading1"/>
      </w:pPr>
      <w:r>
        <w:t>4. Dynamic Threshold Engine</w:t>
      </w:r>
    </w:p>
    <w:p>
      <w:r>
        <w:t>Thresholds are computed using rolling windows, statistical multipliers, and 5-day historical hourly averages stored in Oracle DB. This prevents alert fatigue and enables context-aware sensitivity.</w:t>
      </w:r>
    </w:p>
    <w:p>
      <w:pPr>
        <w:pStyle w:val="Heading1"/>
      </w:pPr>
      <w:r>
        <w:t>5. RAG (Retrieval Augmented Generation) Layer</w:t>
      </w:r>
    </w:p>
    <w:p>
      <w:r>
        <w:t>Historical incident knowledge is stored in a KEDB and embedded using enterprise-grade TCS embedding services. During forecasting, the agent retrieves top-k similar incidents to ground LLM responses.</w:t>
      </w:r>
    </w:p>
    <w:p>
      <w:pPr>
        <w:pStyle w:val="Heading1"/>
      </w:pPr>
      <w:r>
        <w:t>6. LLM Reasoning</w:t>
      </w:r>
    </w:p>
    <w:p>
      <w:r>
        <w:t>LLM is invoked only after a threshold breach. It consumes collated logs and retrieved KEDB context and returns a strict JSON output containing issue summary, reasoning, and recommended actions.</w:t>
      </w:r>
    </w:p>
    <w:p>
      <w:pPr>
        <w:pStyle w:val="Heading1"/>
      </w:pPr>
      <w:r>
        <w:t>7. API Design</w:t>
      </w:r>
    </w:p>
    <w:p>
      <w:r>
        <w:t>The system exposes APIs for forecasting, dynamic threshold updates, KEDB upload, and health checks, allowing modular integration.</w:t>
      </w:r>
    </w:p>
    <w:p>
      <w:pPr>
        <w:pStyle w:val="Heading1"/>
      </w:pPr>
      <w:r>
        <w:t>8. UI Concepts</w:t>
      </w:r>
    </w:p>
    <w:p>
      <w:r>
        <w:t>The dashboard displays monitored services as cards with status indicators, error counts, risk levels, and forecast state. Separate refresh actions exist for monitoring updates and threshold recalibration.</w:t>
      </w:r>
    </w:p>
    <w:p>
      <w:pPr>
        <w:pStyle w:val="Heading1"/>
      </w:pPr>
      <w:r>
        <w:t>9. Operational Value</w:t>
      </w:r>
    </w:p>
    <w:p>
      <w:r>
        <w:t>The architecture enables early-warning detection of third-party failures, consistent recommendations, reduced MTTR, and enterprise-safe AI usage.</w:t>
      </w:r>
    </w:p>
    <w:p>
      <w:pPr>
        <w:pStyle w:val="Heading1"/>
      </w:pPr>
      <w:r>
        <w:t>10. Conclusion</w:t>
      </w:r>
    </w:p>
    <w:p>
      <w:r>
        <w:t>The Issue Forecaster Agent is a production-grade predictive intelligence system combining deterministic engineering with controlled AI reasoning, suitable for regulated and large-scale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