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1B2A4E"/>
        </w:rPr>
        <w:t xml:space="preserve">QUOTATION TO</w:t>
      </w:r>
    </w:p>
    <w:p>
      <w:pPr>
        <w:spacing w:after="120"/>
      </w:pPr>
      <w:r>
        <w:rPr>
          <w:b/>
          <w:bCs/>
          <w:color w:val="1B2A4E"/>
        </w:rPr>
        <w:t xml:space="preserve">Name: Acme Corp</w:t>
      </w:r>
      <w:r>
        <w:rPr>
          <w:b/>
          <w:bCs/>
          <w:color w:val="2E7D6B"/>
        </w:rPr>
        <w:t xml:space="preserve"/>
      </w:r>
    </w:p>
    <w:p>
      <w:pPr>
        <w:spacing w:after="120"/>
      </w:pPr>
      <w:r>
        <w:rPr>
          <w:b/>
          <w:bCs/>
          <w:color w:val="1B2A4E"/>
        </w:rPr>
        <w:t xml:space="preserve">Address: 456 Supply Rd</w:t>
      </w:r>
      <w:r>
        <w:rPr>
          <w:b/>
          <w:bCs/>
          <w:color w:val="2E7D6B"/>
        </w:rPr>
        <w:t xml:space="preserve"/>
      </w:r>
    </w:p>
    <w:p>
      <w:pPr>
        <w:spacing w:after="200"/>
      </w:pPr>
      <w:r>
        <w:rPr>
          <w:b/>
          <w:bCs/>
          <w:color w:val="1B2A4E"/>
        </w:rPr>
        <w:t xml:space="preserve">Contact No.: +916362280471   |   Email: ganeshbelavi2002@gmail.com</w:t>
      </w:r>
      <w:r>
        <w:rPr>
          <w:b/>
          <w:bCs/>
          <w:color w:val="2E7D6B"/>
        </w:rPr>
        <w:t xml:space="preserve"/>
      </w:r>
      <w:r>
        <w:t xml:space="preserve"/>
      </w:r>
      <w:r>
        <w:rPr>
          <w:b/>
          <w:bCs/>
          <w:color w:val="1B2A4E"/>
        </w:rPr>
        <w:t xml:space="preserve"/>
      </w:r>
      <w:r>
        <w:rPr>
          <w:b/>
          <w:bCs/>
          <w:color w:val="2E7D6B"/>
        </w:rPr>
        <w:t xml:space="preserve"/>
      </w:r>
    </w:p>
    <w:p>
      <w:pPr>
        <w:spacing w:after="80"/>
      </w:pPr>
      <w:r>
        <w:rPr>
          <w:b/>
          <w:bCs/>
          <w:color w:val="1B2A4E"/>
        </w:rPr>
        <w:t xml:space="preserve">Reference: Our discussions on implementation of Email Notificationss in your organization.</w:t>
      </w:r>
      <w:r>
        <w:t xml:space="preserve"/>
      </w:r>
      <w:r>
        <w:rPr>
          <w:b/>
          <w:bCs/>
          <w:color w:val="2E7D6B"/>
        </w:rPr>
        <w:t xml:space="preserve"/>
      </w:r>
      <w:r>
        <w:t xml:space="preserve"/>
      </w:r>
    </w:p>
    <w:p>
      <w:pPr>
        <w:spacing w:after="200"/>
      </w:pPr>
      <w:r>
        <w:rPr>
          <w:b/>
          <w:bCs/>
          <w:color w:val="1B2A4E"/>
        </w:rPr>
        <w:t xml:space="preserve">Subject: Business proposal for IT &amp; Operations changeover consultancy and implementation of Email Notificationss.</w:t>
      </w:r>
      <w:r>
        <w:t xml:space="preserve"/>
      </w:r>
      <w:r>
        <w:rPr>
          <w:b/>
          <w:bCs/>
          <w:color w:val="2E7D6B"/>
        </w:rPr>
        <w:t xml:space="preserve"/>
      </w:r>
      <w:r>
        <w:t xml:space="preserve"/>
      </w:r>
    </w:p>
    <w:p>
      <w:pPr>
        <w:spacing w:after="160"/>
      </w:pPr>
      <w:r>
        <w:t xml:space="preserve">Dear Sir / Madam,</w:t>
      </w:r>
    </w:p>
    <w:p>
      <w:pPr>
        <w:spacing w:after="160"/>
      </w:pPr>
      <w:r>
        <w:t xml:space="preserve">This is in reference to our discussions during our visit to your office. We thank you and your team for your valuable time during the presentation of CQUAL.</w:t>
      </w:r>
    </w:p>
    <w:p>
      <w:pPr>
        <w:spacing w:after="200"/>
      </w:pPr>
      <w:r>
        <w:t xml:space="preserve">Based on the challenges and solutions discussed, please find below a preliminary business proposal for the required changeover at b.</w:t>
      </w:r>
      <w:r>
        <w:rPr>
          <w:b/>
          <w:bCs/>
          <w:color w:val="2E7D6B"/>
        </w:rPr>
        <w:t xml:space="preserve"/>
      </w:r>
      <w:r>
        <w:t xml:space="preserve"/>
      </w:r>
    </w:p>
    <w:p>
      <w:pPr>
        <w:pBdr>
          <w:bottom w:val="single" w:color="2E7D6B" w:sz="6" w:space="4"/>
        </w:pBdr>
        <w:spacing w:before="300" w:after="150"/>
      </w:pPr>
      <w:r>
        <w:rPr>
          <w:b/>
          <w:bCs/>
          <w:caps/>
          <w:color w:val="1B2A4E"/>
          <w:sz w:val="26"/>
          <w:szCs w:val="26"/>
        </w:rPr>
        <w:t xml:space="preserve">Goals and Expectations</w:t>
      </w:r>
    </w:p>
    <w:p>
      <w:pPr>
        <w:spacing w:after="120"/>
      </w:pPr>
      <w:r>
        <w:t xml:space="preserve">Our experts will be involved in redefining the operations setup for sustainable growth and required digitalization at b.</w:t>
      </w:r>
      <w:r>
        <w:rPr>
          <w:b/>
          <w:bCs/>
          <w:color w:val="2E7D6B"/>
        </w:rPr>
        <w:t xml:space="preserve"/>
      </w:r>
      <w:r>
        <w:t xml:space="preserve"/>
      </w:r>
    </w:p>
    <w:p>
      <w:pPr>
        <w:spacing w:after="100"/>
      </w:pPr>
      <w:r>
        <w:t xml:space="preserve">Digitization of Email Notificationss replaces manual documentation, accelerates the approval process through centralized data management, and improves traceability while reducing administrative overhead.</w:t>
      </w:r>
      <w:r>
        <w:rPr>
          <w:b/>
          <w:bCs/>
          <w:color w:val="2E7D6B"/>
        </w:rPr>
        <w:t xml:space="preserve"/>
      </w:r>
      <w:r>
        <w:t xml:space="preserve"/>
      </w:r>
    </w:p>
    <w:p>
      <w:pPr>
        <w:pBdr>
          <w:bottom w:val="single" w:color="2E7D6B" w:sz="6" w:space="4"/>
        </w:pBdr>
        <w:spacing w:before="300" w:after="150"/>
      </w:pPr>
      <w:r>
        <w:rPr>
          <w:b/>
          <w:bCs/>
          <w:caps/>
          <w:color w:val="1B2A4E"/>
          <w:sz w:val="26"/>
          <w:szCs w:val="26"/>
        </w:rPr>
        <w:t xml:space="preserve">Scope of Work</w:t>
      </w:r>
    </w:p>
    <w:p>
      <w:pPr>
        <w:pStyle w:val="ListParagraph"/>
        <w:numPr>
          <w:ilvl w:val="0"/>
          <w:numId w:val="1"/>
        </w:numPr>
        <w:spacing w:after="80"/>
      </w:pPr>
      <w:r>
        <w:t xml:space="preserve">Confirmation of your requirement specifications</w:t>
      </w:r>
    </w:p>
    <w:p>
      <w:pPr>
        <w:pStyle w:val="ListParagraph"/>
        <w:numPr>
          <w:ilvl w:val="0"/>
          <w:numId w:val="1"/>
        </w:numPr>
        <w:spacing w:after="80"/>
      </w:pPr>
      <w:r>
        <w:t xml:space="preserve">Requirement analysis</w:t>
      </w:r>
    </w:p>
    <w:p>
      <w:pPr>
        <w:pStyle w:val="ListParagraph"/>
        <w:numPr>
          <w:ilvl w:val="0"/>
          <w:numId w:val="1"/>
        </w:numPr>
        <w:spacing w:after="80"/>
      </w:pPr>
      <w:r>
        <w:t xml:space="preserve">Delivery of the required solution</w:t>
      </w:r>
    </w:p>
    <w:p>
      <w:pPr>
        <w:pStyle w:val="ListParagraph"/>
        <w:numPr>
          <w:ilvl w:val="0"/>
          <w:numId w:val="1"/>
        </w:numPr>
        <w:spacing w:after="200"/>
      </w:pPr>
      <w:r>
        <w:t xml:space="preserve">Training and implementation using CQUAL Email Notificationss</w:t>
      </w:r>
      <w:r>
        <w:rPr>
          <w:b/>
          <w:bCs/>
          <w:color w:val="2E7D6B"/>
        </w:rPr>
        <w:t xml:space="preserve"/>
      </w:r>
    </w:p>
    <w:p>
      <w:pPr>
        <w:spacing w:after="200"/>
      </w:pPr>
      <w:r>
        <w:t xml:space="preserve">Deliverables do not include the source code. Use of the solution is under license from BlechTek Software Solutions LLP.</w:t>
      </w:r>
    </w:p>
    <w:p>
      <w:pPr>
        <w:pBdr>
          <w:bottom w:val="single" w:color="2E7D6B" w:sz="6" w:space="4"/>
        </w:pBdr>
        <w:spacing w:before="300" w:after="150"/>
      </w:pPr>
      <w:r>
        <w:rPr>
          <w:b/>
          <w:bCs/>
          <w:caps/>
          <w:color w:val="1B2A4E"/>
          <w:sz w:val="26"/>
          <w:szCs w:val="26"/>
        </w:rPr>
        <w:t xml:space="preserve">Scope</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600"/>
      </w:tblGrid>
      <w:tr>
        <w:trPr>
          <w:tblHeader/>
        </w:trPr>
        <w:tc>
          <w:tcPr>
            <w:tcW w:w="2200" w:type="dxa"/>
            <w:shd w:val="clear" w:color="auto" w:fill="1B2A4E"/>
            <w:tcMar>
              <w:top w:w="80" w:type="dxa"/>
              <w:left w:w="120" w:type="dxa"/>
              <w:bottom w:w="80" w:type="dxa"/>
              <w:right w:w="120" w:type="dxa"/>
            </w:tcMar>
            <w:vAlign w:val="center"/>
          </w:tcPr>
          <w:p>
            <w:r>
              <w:rPr>
                <w:b/>
                <w:bCs/>
                <w:color w:val="FFFFFF"/>
                <w:sz w:val="20"/>
                <w:szCs w:val="20"/>
              </w:rPr>
              <w:t xml:space="preserve">Pillar</w:t>
            </w:r>
          </w:p>
        </w:tc>
        <w:tc>
          <w:tcPr>
            <w:tcW w:w="5200" w:type="dxa"/>
            <w:shd w:val="clear" w:color="auto" w:fill="1B2A4E"/>
            <w:tcMar>
              <w:top w:w="80" w:type="dxa"/>
              <w:left w:w="120" w:type="dxa"/>
              <w:bottom w:w="80" w:type="dxa"/>
              <w:right w:w="120" w:type="dxa"/>
            </w:tcMar>
            <w:vAlign w:val="center"/>
          </w:tcPr>
          <w:p>
            <w:r>
              <w:rPr>
                <w:b/>
                <w:bCs/>
                <w:color w:val="FFFFFF"/>
                <w:sz w:val="20"/>
                <w:szCs w:val="20"/>
              </w:rPr>
              <w:t xml:space="preserve">Module</w:t>
            </w:r>
          </w:p>
        </w:tc>
        <w:tc>
          <w:tcPr>
            <w:tcW w:w="1600" w:type="dxa"/>
            <w:shd w:val="clear" w:color="auto" w:fill="1B2A4E"/>
            <w:tcMar>
              <w:top w:w="80" w:type="dxa"/>
              <w:left w:w="120" w:type="dxa"/>
              <w:bottom w:w="80" w:type="dxa"/>
              <w:right w:w="120" w:type="dxa"/>
            </w:tcMar>
            <w:vAlign w:val="center"/>
          </w:tcPr>
          <w:p>
            <w:r>
              <w:rPr>
                <w:b/>
                <w:bCs/>
                <w:color w:val="FFFFFF"/>
                <w:sz w:val="20"/>
                <w:szCs w:val="20"/>
              </w:rPr>
              <w:t xml:space="preserve">Selected</w:t>
            </w:r>
          </w:p>
        </w:tc>
      </w:tr>
      <w:tr>
        <w:tc>
          <w:tcPr>
            <w:tcW w:w="2200" w:type="dxa"/>
            <w:tcMar>
              <w:top w:w="80" w:type="dxa"/>
              <w:left w:w="120" w:type="dxa"/>
              <w:bottom w:w="80" w:type="dxa"/>
              <w:right w:w="120" w:type="dxa"/>
            </w:tcMar>
            <w:vAlign w:val="center"/>
          </w:tcPr>
          <w:p>
            <w:r>
              <w:rPr>
                <w:sz w:val="20"/>
                <w:szCs w:val="20"/>
              </w:rPr>
              <w:t xml:space="preserve">Overall</w:t>
            </w:r>
          </w:p>
        </w:tc>
        <w:tc>
          <w:tcPr>
            <w:tcW w:w="5200" w:type="dxa"/>
            <w:tcMar>
              <w:top w:w="80" w:type="dxa"/>
              <w:left w:w="120" w:type="dxa"/>
              <w:bottom w:w="80" w:type="dxa"/>
              <w:right w:w="120" w:type="dxa"/>
            </w:tcMar>
            <w:vAlign w:val="center"/>
          </w:tcPr>
          <w:p>
            <w:r>
              <w:rPr>
                <w:sz w:val="20"/>
                <w:szCs w:val="20"/>
              </w:rPr>
              <w:t xml:space="preserve">Email Notificationss</w:t>
            </w:r>
          </w:p>
        </w:tc>
        <w:tc>
          <w:tcPr>
            <w:tcW w:w="1600" w:type="dxa"/>
            <w:tcMar>
              <w:top w:w="80" w:type="dxa"/>
              <w:left w:w="120" w:type="dxa"/>
              <w:bottom w:w="80" w:type="dxa"/>
              <w:right w:w="120" w:type="dxa"/>
            </w:tcMar>
            <w:vAlign w:val="center"/>
          </w:tcPr>
          <w:p>
            <w:r>
              <w:rPr>
                <w:b/>
                <w:bCs/>
                <w:color w:val="2E7D6B"/>
                <w:sz w:val="20"/>
                <w:szCs w:val="20"/>
              </w:rPr>
              <w:t xml:space="preserve">Yes</w:t>
            </w:r>
          </w:p>
        </w:tc>
      </w:tr>
    </w:tbl>
    <w:p>
      <w:pPr>
        <w:spacing w:after="200"/>
      </w:pPr>
    </w:p>
    <w:p>
      <w:pPr>
        <w:pBdr>
          <w:bottom w:val="single" w:color="2E7D6B" w:sz="6" w:space="4"/>
        </w:pBdr>
        <w:spacing w:before="300" w:after="150"/>
      </w:pPr>
      <w:r>
        <w:rPr>
          <w:b/>
          <w:bCs/>
          <w:caps/>
          <w:color w:val="1B2A4E"/>
          <w:sz w:val="26"/>
          <w:szCs w:val="26"/>
        </w:rPr>
        <w:t xml:space="preserve">Price for Implementation</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5800"/>
        <w:gridCol w:w="3200"/>
      </w:tblGrid>
      <w:tr>
        <w:tc>
          <w:tcPr>
            <w:tcW w:w="5800" w:type="dxa"/>
            <w:shd w:val="clear" w:color="auto" w:fill="1B2A4E"/>
            <w:tcMar>
              <w:top w:w="80" w:type="dxa"/>
              <w:left w:w="120" w:type="dxa"/>
              <w:bottom w:w="80" w:type="dxa"/>
              <w:right w:w="120" w:type="dxa"/>
            </w:tcMar>
            <w:vAlign w:val="center"/>
          </w:tcPr>
          <w:p>
            <w:r>
              <w:rPr>
                <w:b/>
                <w:bCs/>
                <w:color w:val="FFFFFF"/>
                <w:sz w:val="20"/>
                <w:szCs w:val="20"/>
              </w:rPr>
              <w:t xml:space="preserve">Particulars</w:t>
            </w:r>
          </w:p>
        </w:tc>
        <w:tc>
          <w:tcPr>
            <w:tcW w:w="3200" w:type="dxa"/>
            <w:shd w:val="clear" w:color="auto" w:fill="1B2A4E"/>
            <w:tcMar>
              <w:top w:w="80" w:type="dxa"/>
              <w:left w:w="120" w:type="dxa"/>
              <w:bottom w:w="80" w:type="dxa"/>
              <w:right w:w="120" w:type="dxa"/>
            </w:tcMar>
            <w:vAlign w:val="center"/>
          </w:tcPr>
          <w:p>
            <w:r>
              <w:rPr>
                <w:b/>
                <w:bCs/>
                <w:color w:val="FFFFFF"/>
                <w:sz w:val="20"/>
                <w:szCs w:val="20"/>
              </w:rPr>
              <w:t xml:space="preserve">Price (INR)</w:t>
            </w:r>
          </w:p>
        </w:tc>
      </w:tr>
      <w:tr>
        <w:tc>
          <w:tcPr>
            <w:tcW w:w="5800" w:type="dxa"/>
            <w:tcMar>
              <w:top w:w="80" w:type="dxa"/>
              <w:left w:w="120" w:type="dxa"/>
              <w:bottom w:w="80" w:type="dxa"/>
              <w:right w:w="120" w:type="dxa"/>
            </w:tcMar>
          </w:tcPr>
          <w:p>
            <w:r>
              <w:rPr>
                <w:b w:val="false"/>
                <w:bCs w:val="false"/>
                <w:sz w:val="20"/>
                <w:szCs w:val="20"/>
              </w:rPr>
              <w:t xml:space="preserve">Product License - Email Notificationss (single installation). Scope as listed above.</w:t>
            </w:r>
          </w:p>
        </w:tc>
        <w:tc>
          <w:tcPr>
            <w:tcW w:w="3200" w:type="dxa"/>
            <w:tcMar>
              <w:top w:w="80" w:type="dxa"/>
              <w:left w:w="120" w:type="dxa"/>
              <w:bottom w:w="80" w:type="dxa"/>
              <w:right w:w="120" w:type="dxa"/>
            </w:tcMar>
          </w:tcPr>
          <w:p>
            <w:r>
              <w:rPr>
                <w:b w:val="false"/>
                <w:bCs w:val="false"/>
                <w:sz w:val="20"/>
                <w:szCs w:val="20"/>
              </w:rPr>
              <w:t xml:space="preserve"/>
            </w:r>
          </w:p>
        </w:tc>
      </w:tr>
      <w:tr>
        <w:tc>
          <w:tcPr>
            <w:tcW w:w="5800" w:type="dxa"/>
            <w:shd w:val="clear" w:color="auto" w:fill="F2F4F7"/>
            <w:tcMar>
              <w:top w:w="80" w:type="dxa"/>
              <w:left w:w="120" w:type="dxa"/>
              <w:bottom w:w="80" w:type="dxa"/>
              <w:right w:w="120" w:type="dxa"/>
            </w:tcMar>
          </w:tcPr>
          <w:p>
            <w:r>
              <w:rPr>
                <w:b w:val="false"/>
                <w:bCs w:val="false"/>
                <w:sz w:val="20"/>
                <w:szCs w:val="20"/>
              </w:rPr>
              <w:t xml:space="preserve">Customization - any additional development beyond scope, charged at INR 7,000 / man-day.</w:t>
            </w:r>
          </w:p>
        </w:tc>
        <w:tc>
          <w:tcPr>
            <w:tcW w:w="3200" w:type="dxa"/>
            <w:shd w:val="clear" w:color="auto" w:fill="F2F4F7"/>
            <w:tcMar>
              <w:top w:w="80" w:type="dxa"/>
              <w:left w:w="120" w:type="dxa"/>
              <w:bottom w:w="80" w:type="dxa"/>
              <w:right w:w="120" w:type="dxa"/>
            </w:tcMar>
          </w:tcPr>
          <w:p>
            <w:r>
              <w:rPr>
                <w:b w:val="false"/>
                <w:bCs w:val="false"/>
                <w:sz w:val="20"/>
                <w:szCs w:val="20"/>
              </w:rPr>
              <w:t xml:space="preserve">TBD</w:t>
            </w:r>
          </w:p>
        </w:tc>
      </w:tr>
      <w:tr>
        <w:tc>
          <w:tcPr>
            <w:tcW w:w="5800" w:type="dxa"/>
            <w:tcMar>
              <w:top w:w="80" w:type="dxa"/>
              <w:left w:w="120" w:type="dxa"/>
              <w:bottom w:w="80" w:type="dxa"/>
              <w:right w:w="120" w:type="dxa"/>
            </w:tcMar>
          </w:tcPr>
          <w:p>
            <w:r>
              <w:rPr>
                <w:b w:val="false"/>
                <w:bCs w:val="false"/>
                <w:sz w:val="20"/>
                <w:szCs w:val="20"/>
              </w:rPr>
              <w:t xml:space="preserve">Annual License Renewal - covers upgrades, bug fixes &amp; statutory changes. Includes 7 man-days; excess is chargeable.</w:t>
            </w:r>
          </w:p>
        </w:tc>
        <w:tc>
          <w:tcPr>
            <w:tcW w:w="3200" w:type="dxa"/>
            <w:tcMar>
              <w:top w:w="80" w:type="dxa"/>
              <w:left w:w="120" w:type="dxa"/>
              <w:bottom w:w="80" w:type="dxa"/>
              <w:right w:w="120" w:type="dxa"/>
            </w:tcMar>
          </w:tcPr>
          <w:p>
            <w:r>
              <w:rPr>
                <w:b w:val="false"/>
                <w:bCs w:val="false"/>
                <w:sz w:val="20"/>
                <w:szCs w:val="20"/>
              </w:rPr>
              <w:t xml:space="preserve"/>
            </w:r>
          </w:p>
        </w:tc>
      </w:tr>
      <w:tr>
        <w:tc>
          <w:tcPr>
            <w:tcW w:w="5800" w:type="dxa"/>
            <w:shd w:val="clear" w:color="auto" w:fill="F2F4F7"/>
            <w:tcMar>
              <w:top w:w="80" w:type="dxa"/>
              <w:left w:w="120" w:type="dxa"/>
              <w:bottom w:w="80" w:type="dxa"/>
              <w:right w:w="120" w:type="dxa"/>
            </w:tcMar>
          </w:tcPr>
          <w:p>
            <w:r>
              <w:rPr>
                <w:b w:val="false"/>
                <w:bCs w:val="false"/>
                <w:sz w:val="20"/>
                <w:szCs w:val="20"/>
              </w:rPr>
              <w:t xml:space="preserve">Support Services - commence 1 month after Go-Live.</w:t>
            </w:r>
          </w:p>
        </w:tc>
        <w:tc>
          <w:tcPr>
            <w:tcW w:w="3200" w:type="dxa"/>
            <w:shd w:val="clear" w:color="auto" w:fill="F2F4F7"/>
            <w:tcMar>
              <w:top w:w="80" w:type="dxa"/>
              <w:left w:w="120" w:type="dxa"/>
              <w:bottom w:w="80" w:type="dxa"/>
              <w:right w:w="120" w:type="dxa"/>
            </w:tcMar>
          </w:tcPr>
          <w:p>
            <w:r>
              <w:rPr>
                <w:b w:val="false"/>
                <w:bCs w:val="false"/>
                <w:sz w:val="20"/>
                <w:szCs w:val="20"/>
              </w:rPr>
              <w:t xml:space="preserve"/>
            </w:r>
          </w:p>
        </w:tc>
      </w:tr>
      <w:tr>
        <w:tc>
          <w:tcPr>
            <w:tcW w:w="5800" w:type="dxa"/>
            <w:tcMar>
              <w:top w:w="80" w:type="dxa"/>
              <w:left w:w="120" w:type="dxa"/>
              <w:bottom w:w="80" w:type="dxa"/>
              <w:right w:w="120" w:type="dxa"/>
            </w:tcMar>
          </w:tcPr>
          <w:p>
            <w:r>
              <w:rPr>
                <w:b w:val="false"/>
                <w:bCs w:val="false"/>
                <w:sz w:val="20"/>
                <w:szCs w:val="20"/>
              </w:rPr>
              <w:t xml:space="preserve">Payment Terms - 70% advance with PO, 20% on implementation, 10% on Go-Live.</w:t>
            </w:r>
          </w:p>
        </w:tc>
        <w:tc>
          <w:tcPr>
            <w:tcW w:w="3200" w:type="dxa"/>
            <w:tcMar>
              <w:top w:w="80" w:type="dxa"/>
              <w:left w:w="120" w:type="dxa"/>
              <w:bottom w:w="80" w:type="dxa"/>
              <w:right w:w="120" w:type="dxa"/>
            </w:tcMar>
          </w:tcPr>
          <w:p>
            <w:r>
              <w:rPr>
                <w:b w:val="false"/>
                <w:bCs w:val="false"/>
                <w:sz w:val="20"/>
                <w:szCs w:val="20"/>
              </w:rPr>
              <w:t xml:space="preserve"/>
            </w:r>
          </w:p>
        </w:tc>
      </w:tr>
      <w:tr>
        <w:tc>
          <w:tcPr>
            <w:tcW w:w="5800" w:type="dxa"/>
            <w:shd w:val="clear" w:color="auto" w:fill="F2F4F7"/>
            <w:tcMar>
              <w:top w:w="80" w:type="dxa"/>
              <w:left w:w="120" w:type="dxa"/>
              <w:bottom w:w="80" w:type="dxa"/>
              <w:right w:w="120" w:type="dxa"/>
            </w:tcMar>
          </w:tcPr>
          <w:p>
            <w:r>
              <w:rPr>
                <w:b w:val="false"/>
                <w:bCs w:val="false"/>
                <w:sz w:val="20"/>
                <w:szCs w:val="20"/>
              </w:rPr>
              <w:t xml:space="preserve">Taxes - as applicable.</w:t>
            </w:r>
          </w:p>
        </w:tc>
        <w:tc>
          <w:tcPr>
            <w:tcW w:w="3200" w:type="dxa"/>
            <w:shd w:val="clear" w:color="auto" w:fill="F2F4F7"/>
            <w:tcMar>
              <w:top w:w="80" w:type="dxa"/>
              <w:left w:w="120" w:type="dxa"/>
              <w:bottom w:w="80" w:type="dxa"/>
              <w:right w:w="120" w:type="dxa"/>
            </w:tcMar>
          </w:tcPr>
          <w:p>
            <w:r>
              <w:rPr>
                <w:b w:val="false"/>
                <w:bCs w:val="false"/>
                <w:sz w:val="20"/>
                <w:szCs w:val="20"/>
              </w:rPr>
              <w:t xml:space="preserve"/>
            </w:r>
          </w:p>
        </w:tc>
      </w:tr>
    </w:tbl>
    <w:p>
      <w:pPr>
        <w:spacing w:after="200"/>
      </w:pPr>
    </w:p>
    <w:p>
      <w:pPr>
        <w:pBdr>
          <w:bottom w:val="single" w:color="2E7D6B" w:sz="6" w:space="4"/>
        </w:pBdr>
        <w:spacing w:before="300" w:after="150"/>
      </w:pPr>
      <w:r>
        <w:rPr>
          <w:b/>
          <w:bCs/>
          <w:caps/>
          <w:color w:val="1B2A4E"/>
          <w:sz w:val="26"/>
          <w:szCs w:val="26"/>
        </w:rPr>
        <w:t xml:space="preserve">Terms and Conditions</w:t>
      </w:r>
    </w:p>
    <w:p>
      <w:pPr>
        <w:spacing w:before="160" w:after="40"/>
      </w:pPr>
      <w:r>
        <w:rPr>
          <w:b/>
          <w:bCs/>
          <w:color w:val="1B2A4E"/>
          <w:sz w:val="20"/>
          <w:szCs w:val="20"/>
        </w:rPr>
        <w:t xml:space="preserve">1. Confidentiality</w:t>
      </w:r>
    </w:p>
    <w:p>
      <w:pPr>
        <w:spacing w:after="60"/>
      </w:pPr>
      <w:r>
        <w:rPr>
          <w:sz w:val="20"/>
          <w:szCs w:val="20"/>
        </w:rPr>
        <w:t xml:space="preserve">BlechTek Software Solutions LLP agrees to maintain the confidentiality of all insights gained into your organization.</w:t>
      </w:r>
    </w:p>
    <w:p>
      <w:pPr>
        <w:spacing w:before="160" w:after="40"/>
      </w:pPr>
      <w:r>
        <w:rPr>
          <w:b/>
          <w:bCs/>
          <w:color w:val="1B2A4E"/>
          <w:sz w:val="20"/>
          <w:szCs w:val="20"/>
        </w:rPr>
        <w:t xml:space="preserve">2. License</w:t>
      </w:r>
    </w:p>
    <w:p>
      <w:pPr>
        <w:spacing w:after="60"/>
      </w:pPr>
      <w:r>
        <w:rPr>
          <w:sz w:val="20"/>
          <w:szCs w:val="20"/>
        </w:rPr>
        <w:t xml:space="preserve">You are responsible for holding valid licenses for any Operating System software required.</w:t>
      </w:r>
    </w:p>
    <w:p>
      <w:pPr>
        <w:spacing w:before="160" w:after="40"/>
      </w:pPr>
      <w:r>
        <w:rPr>
          <w:b/>
          <w:bCs/>
          <w:color w:val="1B2A4E"/>
          <w:sz w:val="20"/>
          <w:szCs w:val="20"/>
        </w:rPr>
        <w:t xml:space="preserve">3. Ownership of Source Code</w:t>
      </w:r>
    </w:p>
    <w:p>
      <w:pPr>
        <w:spacing w:after="60"/>
      </w:pPr>
      <w:r>
        <w:rPr>
          <w:sz w:val="20"/>
          <w:szCs w:val="20"/>
        </w:rPr>
        <w:t xml:space="preserve">Source Code remains the property of BlechTek Software Solutions LLP. The customer shall not claim any right in or to any patent, copyright, trademark or other proprietary right of the original manufacturer, developer or licensor.</w:t>
      </w:r>
    </w:p>
    <w:p>
      <w:pPr>
        <w:spacing w:before="160" w:after="40"/>
      </w:pPr>
      <w:r>
        <w:rPr>
          <w:b/>
          <w:bCs/>
          <w:color w:val="1B2A4E"/>
          <w:sz w:val="20"/>
          <w:szCs w:val="20"/>
        </w:rPr>
        <w:t xml:space="preserve">4. Warranty</w:t>
      </w:r>
    </w:p>
    <w:p>
      <w:pPr>
        <w:spacing w:after="60"/>
      </w:pPr>
      <w:r>
        <w:rPr>
          <w:sz w:val="20"/>
          <w:szCs w:val="20"/>
        </w:rPr>
        <w:t xml:space="preserve">BlechTek offers a standard warranty against development defects for 3 months from the date of installation. BlechTek is not responsible for data loss due to platform, cyber-security or virus issues.</w:t>
      </w:r>
    </w:p>
    <w:p>
      <w:pPr>
        <w:spacing w:before="160" w:after="40"/>
      </w:pPr>
      <w:r>
        <w:rPr>
          <w:b/>
          <w:bCs/>
          <w:color w:val="1B2A4E"/>
          <w:sz w:val="20"/>
          <w:szCs w:val="20"/>
        </w:rPr>
        <w:t xml:space="preserve">5. Installation of Software</w:t>
      </w:r>
    </w:p>
    <w:p>
      <w:pPr>
        <w:spacing w:after="60"/>
      </w:pPr>
      <w:r>
        <w:rPr>
          <w:sz w:val="20"/>
          <w:szCs w:val="20"/>
        </w:rPr>
        <w:t xml:space="preserve">The software is considered installed once loaded on the server. For on-premise servers, installation follows receipt of a Site Readiness report.</w:t>
      </w:r>
    </w:p>
    <w:p>
      <w:pPr>
        <w:spacing w:before="160" w:after="40"/>
      </w:pPr>
      <w:r>
        <w:rPr>
          <w:b/>
          <w:bCs/>
          <w:color w:val="1B2A4E"/>
          <w:sz w:val="20"/>
          <w:szCs w:val="20"/>
        </w:rPr>
        <w:t xml:space="preserve">6. Excused Performance</w:t>
      </w:r>
    </w:p>
    <w:p>
      <w:pPr>
        <w:spacing w:after="60"/>
      </w:pPr>
      <w:r>
        <w:rPr>
          <w:sz w:val="20"/>
          <w:szCs w:val="20"/>
        </w:rPr>
        <w:t xml:space="preserve">BlechTek is not liable for delay or failure in performance due to strikes, riots, war, fire, acts of God, governmental regulation, or failure of hardware/network outside its control.</w:t>
      </w:r>
    </w:p>
    <w:p>
      <w:pPr>
        <w:spacing w:before="160" w:after="40"/>
      </w:pPr>
      <w:r>
        <w:rPr>
          <w:b/>
          <w:bCs/>
          <w:color w:val="1B2A4E"/>
          <w:sz w:val="20"/>
          <w:szCs w:val="20"/>
        </w:rPr>
        <w:t xml:space="preserve">7. Discontinuation of Contract</w:t>
      </w:r>
    </w:p>
    <w:p>
      <w:pPr>
        <w:spacing w:after="60"/>
      </w:pPr>
      <w:r>
        <w:rPr>
          <w:sz w:val="20"/>
          <w:szCs w:val="20"/>
        </w:rPr>
        <w:t xml:space="preserve">The balance amount becomes payable immediately if the contract is discontinued for reasons unrelated to BlechTek, or stalled by the client for more than 60 days.</w:t>
      </w:r>
    </w:p>
    <w:p>
      <w:pPr>
        <w:spacing w:before="160" w:after="40"/>
      </w:pPr>
      <w:r>
        <w:rPr>
          <w:b/>
          <w:bCs/>
          <w:color w:val="1B2A4E"/>
          <w:sz w:val="20"/>
          <w:szCs w:val="20"/>
        </w:rPr>
        <w:t xml:space="preserve">8. TDS</w:t>
      </w:r>
    </w:p>
    <w:p>
      <w:pPr>
        <w:spacing w:after="60"/>
      </w:pPr>
      <w:r>
        <w:rPr>
          <w:sz w:val="20"/>
          <w:szCs w:val="20"/>
        </w:rPr>
        <w:t xml:space="preserve">Any TDS deducted must be supported by a certificate within 6 months or by the end of the financial year, failing which the deducted amount becomes payable.</w:t>
      </w:r>
    </w:p>
    <w:p>
      <w:pPr>
        <w:spacing w:before="160" w:after="40"/>
      </w:pPr>
      <w:r>
        <w:rPr>
          <w:b/>
          <w:bCs/>
          <w:color w:val="1B2A4E"/>
          <w:sz w:val="20"/>
          <w:szCs w:val="20"/>
        </w:rPr>
        <w:t xml:space="preserve">9. Validity of the Offer</w:t>
      </w:r>
    </w:p>
    <w:p>
      <w:pPr>
        <w:spacing w:after="60"/>
      </w:pPr>
      <w:r>
        <w:rPr>
          <w:sz w:val="20"/>
          <w:szCs w:val="20"/>
        </w:rPr>
        <w:t xml:space="preserve">This offer is valid up to 18 Aug 2026.</w:t>
      </w:r>
    </w:p>
    <w:p>
      <w:pPr>
        <w:spacing w:before="160" w:after="40"/>
      </w:pPr>
      <w:r>
        <w:rPr>
          <w:b/>
          <w:bCs/>
          <w:color w:val="1B2A4E"/>
          <w:sz w:val="20"/>
          <w:szCs w:val="20"/>
        </w:rPr>
        <w:t xml:space="preserve">10. Suggestions by Auditors / Consultants</w:t>
      </w:r>
    </w:p>
    <w:p>
      <w:pPr>
        <w:spacing w:after="60"/>
      </w:pPr>
      <w:r>
        <w:rPr>
          <w:sz w:val="20"/>
          <w:szCs w:val="20"/>
        </w:rPr>
        <w:t xml:space="preserve">Any changes suggested by auditors or consultants must be raised before order finalization; later changes are chargeable separately.</w:t>
      </w:r>
    </w:p>
    <w:p>
      <w:pPr>
        <w:spacing w:before="160" w:after="40"/>
      </w:pPr>
      <w:r>
        <w:rPr>
          <w:b/>
          <w:bCs/>
          <w:color w:val="1B2A4E"/>
          <w:sz w:val="20"/>
          <w:szCs w:val="20"/>
        </w:rPr>
        <w:t xml:space="preserve">11. Legal</w:t>
      </w:r>
    </w:p>
    <w:p>
      <w:pPr>
        <w:spacing w:after="60"/>
      </w:pPr>
      <w:r>
        <w:rPr>
          <w:sz w:val="20"/>
          <w:szCs w:val="20"/>
        </w:rPr>
        <w:t xml:space="preserve">Disputes arising from this order are subject to the jurisdiction of courts at Pune, Maharashtra.</w:t>
      </w:r>
    </w:p>
    <w:p>
      <w:pPr>
        <w:spacing w:before="300" w:after="40"/>
      </w:pPr>
      <w:r>
        <w:t xml:space="preserve">We hope this document aligns with our discussions. Please feel free to reach out for any clarification.</w:t>
      </w:r>
    </w:p>
    <w:p>
      <w:pPr>
        <w:spacing w:before="200" w:after="40"/>
      </w:pPr>
      <w:r>
        <w:t xml:space="preserve">Sincerely,</w:t>
      </w:r>
    </w:p>
    <w:p>
      <w:pPr>
        <w:spacing w:after="20"/>
      </w:pPr>
      <w:r>
        <w:rPr>
          <w:b/>
          <w:bCs/>
          <w:color w:val="1B2A4E"/>
        </w:rPr>
        <w:t xml:space="preserve">For BlechTek Software Solutions LLP</w:t>
      </w:r>
    </w:p>
    <w:p>
      <w:pPr>
        <w:spacing w:before="200"/>
      </w:pPr>
      <w:r>
        <w:rPr>
          <w:b/>
          <w:bCs/>
          <w:color w:val="1B2A4E"/>
        </w:rPr>
        <w:t xml:space="preserve">Sushama Inamdar</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8"/>
        <w:sz w:val="16"/>
        <w:szCs w:val="16"/>
      </w:rPr>
      <w:t xml:space="preserve">BlechTek Software Solutions LLP</w:t>
    </w:r>
  </w:p>
  <w:p>
    <w:pPr>
      <w:jc w:val="center"/>
    </w:pPr>
    <w:r>
      <w:rPr>
        <w:color w:val="5B6478"/>
        <w:sz w:val="14"/>
        <w:szCs w:val="14"/>
      </w:rPr>
      <w:t xml:space="preserve">Address: S.NO. 257/2/2A/4 ABC Business Center, S Floor, Opp. WindMill Village Road, WindMill Village, Bavdhan, Pune 411021, Maharashtra</w:t>
    </w:r>
  </w:p>
  <w:p>
    <w:pPr>
      <w:jc w:val="center"/>
    </w:pPr>
    <w:r>
      <w:rPr>
        <w:color w:val="5B6478"/>
        <w:sz w:val="14"/>
        <w:szCs w:val="14"/>
      </w:rPr>
      <w:t xml:space="preserve">LLP No.: ACD-6620 | GST NO.: 27ABCFB0283B1Z0 | MSME Certificate No.: UDYAM-MH-26-0746115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D6B" w:sz="12" w:space="6"/>
      </w:pBdr>
      <w:tabs>
        <w:tab w:val="right" w:pos="9026"/>
      </w:tabs>
    </w:pPr>
    <w:r>
      <w:rPr>
        <w:b/>
        <w:bCs/>
        <w:color w:val="1B2A4E"/>
        <w:sz w:val="24"/>
        <w:szCs w:val="24"/>
      </w:rPr>
      <w:r>
        <w:drawing>
          <wp:inline>
            <wp:extent cx="1428750" cy="381000"/>
            <wp:effectExtent l="0" t="0" r="0" b="0"/>
            <wp:docPr id="1"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pic:cNvPicPr/>
                  </pic:nvPicPr>
                  <pic:blipFill>
                    <a:blip r:embed="Rba44c22c781347c8"/>
                    <a:stretch>
                      <a:fillRect/>
                    </a:stretch>
                  </pic:blipFill>
                  <pic:spPr>
                    <a:xfrm>
                      <a:off x="0" y="0"/>
                      <a:ext cx="1428750" cy="381000"/>
                    </a:xfrm>
                    <a:prstGeom prst="rect">
                      <a:avLst/>
                    </a:prstGeom>
                  </pic:spPr>
                </pic:pic>
              </a:graphicData>
            </a:graphic>
          </wp:inline>
        </w:drawing>
      </w:r>
    </w:r>
    <w:r>
      <w:rPr>
        <w:b/>
        <w:bCs/>
        <w:color w:val="2E7D6B"/>
        <w:sz w:val="20"/>
        <w:szCs w:val="20"/>
      </w:rPr>
      <w:t xml:space="preserve">	QUOTATION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&#65279;<?xml version="1.0" encoding="utf-8"?><Relationships xmlns="http://schemas.openxmlformats.org/package/2006/relationships"><Relationship Type="http://schemas.openxmlformats.org/officeDocument/2006/relationships/image" Target="/media/image.png" Id="Rba44c22c781347c8" /></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2026-08-11T09:39:13.660Z</dcterms:created>
  <dcterms:modified xsi:type="dcterms:W3CDTF">2026-08-11T09:39:13.674Z</dcterms:modified>
</cp:coreProperties>
</file>

<file path=docProps/custom.xml><?xml version="1.0" encoding="utf-8"?>
<Properties xmlns="http://schemas.openxmlformats.org/officeDocument/2006/custom-properties" xmlns:vt="http://schemas.openxmlformats.org/officeDocument/2006/docPropsVTypes"/>
</file>