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1B2A4E"/>
        </w:rPr>
        <w:t xml:space="preserve">QUOTATION TO</w:t>
      </w:r>
    </w:p>
    <w:p>
      <w:pPr>
        <w:spacing w:after="120"/>
      </w:pPr>
      <w:r>
        <w:rPr>
          <w:b/>
          <w:bCs/>
          <w:color w:val="1B2A4E"/>
        </w:rPr>
        <w:t xml:space="preserve">Name: Acme Corp</w:t>
      </w:r>
      <w:r>
        <w:rPr>
          <w:b/>
          <w:bCs/>
          <w:color w:val="2E7D6B"/>
        </w:rPr>
        <w:t xml:space="preserve"/>
      </w:r>
    </w:p>
    <w:p>
      <w:pPr>
        <w:spacing w:after="120"/>
      </w:pPr>
      <w:r>
        <w:rPr>
          <w:b/>
          <w:bCs/>
          <w:color w:val="1B2A4E"/>
        </w:rPr>
        <w:t xml:space="preserve">Address: 456 Supply Rd</w:t>
      </w:r>
      <w:r>
        <w:rPr>
          <w:b/>
          <w:bCs/>
          <w:color w:val="2E7D6B"/>
        </w:rPr>
        <w:t xml:space="preserve"/>
      </w:r>
    </w:p>
    <w:p>
      <w:pPr>
        <w:spacing w:after="200"/>
      </w:pPr>
      <w:r>
        <w:rPr>
          <w:b/>
          <w:bCs/>
          <w:color w:val="1B2A4E"/>
        </w:rPr>
        <w:t xml:space="preserve">Contact No.: +912324354355   |   Email: ganeshbelavi2002@gmail.com</w:t>
      </w:r>
      <w:r>
        <w:rPr>
          <w:b/>
          <w:bCs/>
          <w:color w:val="2E7D6B"/>
        </w:rPr>
        <w:t xml:space="preserve"/>
      </w:r>
      <w:r>
        <w:t xml:space="preserve"/>
      </w:r>
      <w:r>
        <w:rPr>
          <w:b/>
          <w:bCs/>
          <w:color w:val="1B2A4E"/>
        </w:rPr>
        <w:t xml:space="preserve"/>
      </w:r>
      <w:r>
        <w:rPr>
          <w:b/>
          <w:bCs/>
          <w:color w:val="2E7D6B"/>
        </w:rPr>
        <w:t xml:space="preserve"/>
      </w:r>
    </w:p>
    <w:p>
      <w:pPr>
        <w:spacing w:after="80"/>
      </w:pPr>
      <w:r>
        <w:rPr>
          <w:b/>
          <w:bCs/>
          <w:color w:val="1B2A4E"/>
        </w:rPr>
        <w:t xml:space="preserve">Reference: Our discussions on implementation of Email Notificationss in your organization.</w:t>
      </w:r>
      <w:r>
        <w:t xml:space="preserve"/>
      </w:r>
      <w:r>
        <w:rPr>
          <w:b/>
          <w:bCs/>
          <w:color w:val="2E7D6B"/>
        </w:rPr>
        <w:t xml:space="preserve"/>
      </w:r>
      <w:r>
        <w:t xml:space="preserve"/>
      </w:r>
    </w:p>
    <w:p>
      <w:pPr>
        <w:spacing w:after="200"/>
      </w:pPr>
      <w:r>
        <w:rPr>
          <w:b/>
          <w:bCs/>
          <w:color w:val="1B2A4E"/>
        </w:rPr>
        <w:t xml:space="preserve">Subject: Business proposal for IT &amp; Operations changeover consultancy and implementation of Email Notificationss.</w:t>
      </w:r>
      <w:r>
        <w:t xml:space="preserve"/>
      </w:r>
      <w:r>
        <w:rPr>
          <w:b/>
          <w:bCs/>
          <w:color w:val="2E7D6B"/>
        </w:rPr>
        <w:t xml:space="preserve"/>
      </w:r>
      <w:r>
        <w:t xml:space="preserve"/>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d.</w:t>
      </w:r>
      <w:r>
        <w:rPr>
          <w:b/>
          <w:bCs/>
          <w:color w:val="2E7D6B"/>
        </w:rPr>
        <w:t xml:space="preserve"/>
      </w:r>
      <w:r>
        <w:t xml:space="preserve"/>
      </w:r>
    </w:p>
    <w:p>
      <w:pPr>
        <w:pBdr>
          <w:bottom w:val="single" w:color="2E7D6B" w:sz="6" w:space="4"/>
        </w:pBdr>
        <w:spacing w:before="300" w:after="150"/>
      </w:pPr>
      <w:r>
        <w:rPr>
          <w:b/>
          <w:bCs/>
          <w:caps/>
          <w:color w:val="1B2A4E"/>
          <w:sz w:val="26"/>
          <w:szCs w:val="26"/>
        </w:rPr>
        <w:t xml:space="preserve">Goals and Expectations</w:t>
      </w:r>
    </w:p>
    <w:p>
      <w:pPr>
        <w:spacing w:after="120"/>
      </w:pPr>
      <w:r>
        <w:t xml:space="preserve">Our experts will be involved in redefining the operations setup for sustainable growth and required digitalization at d.</w:t>
      </w:r>
      <w:r>
        <w:rPr>
          <w:b/>
          <w:bCs/>
          <w:color w:val="2E7D6B"/>
        </w:rPr>
        <w:t xml:space="preserve"/>
      </w:r>
      <w:r>
        <w:t xml:space="preserve"/>
      </w:r>
    </w:p>
    <w:p>
      <w:pPr>
        <w:spacing w:after="100"/>
      </w:pPr>
      <w:r>
        <w:t xml:space="preserve">Digitization of Email Notificationss replaces manual documentation, accelerates the approval process through centralized data management, and improves traceability while reducing administrative overhead.</w:t>
      </w:r>
      <w:r>
        <w:rPr>
          <w:b/>
          <w:bCs/>
          <w:color w:val="2E7D6B"/>
        </w:rPr>
        <w:t xml:space="preserve"/>
      </w:r>
      <w:r>
        <w:t xml:space="preserve"/>
      </w:r>
    </w:p>
    <w:p>
      <w:pPr>
        <w:pBdr>
          <w:bottom w:val="single" w:color="2E7D6B" w:sz="6" w:space="4"/>
        </w:pBdr>
        <w:spacing w:before="300" w:after="150"/>
      </w:pPr>
      <w:r>
        <w:rPr>
          <w:b/>
          <w:bCs/>
          <w:caps/>
          <w:color w:val="1B2A4E"/>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Email Notificationss</w:t>
      </w:r>
      <w:r>
        <w:rPr>
          <w:b/>
          <w:bCs/>
          <w:color w:val="2E7D6B"/>
        </w:rPr>
        <w:t xml:space="preserve"/>
      </w:r>
    </w:p>
    <w:p>
      <w:pPr>
        <w:spacing w:after="200"/>
      </w:pPr>
      <w:r>
        <w:t xml:space="preserve">Deliverables do not include the source code. Use of the solution is under license from BlechTek Software Solutions LLP.</w:t>
      </w:r>
    </w:p>
    <w:p>
      <w:pPr>
        <w:pBdr>
          <w:bottom w:val="single" w:color="2E7D6B" w:sz="6" w:space="4"/>
        </w:pBdr>
        <w:spacing w:before="300" w:after="150"/>
      </w:pPr>
      <w:r>
        <w:rPr>
          <w:b/>
          <w:bCs/>
          <w:caps/>
          <w:color w:val="1B2A4E"/>
          <w:sz w:val="26"/>
          <w:szCs w:val="26"/>
        </w:rPr>
        <w:t xml:space="preserve">Scope</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tblGrid>
      <w:tr>
        <w:trPr>
          <w:tblHeader/>
        </w:trPr>
        <w:tc>
          <w:tcPr>
            <w:tcW w:w="2200" w:type="dxa"/>
            <w:shd w:val="clear" w:color="auto" w:fill="1B2A4E"/>
            <w:tcMar>
              <w:top w:w="80" w:type="dxa"/>
              <w:left w:w="120" w:type="dxa"/>
              <w:bottom w:w="80" w:type="dxa"/>
              <w:right w:w="120" w:type="dxa"/>
            </w:tcMar>
            <w:vAlign w:val="center"/>
          </w:tcPr>
          <w:p>
            <w:r>
              <w:rPr>
                <w:b/>
                <w:bCs/>
                <w:color w:val="FFFFFF"/>
                <w:sz w:val="20"/>
                <w:szCs w:val="20"/>
              </w:rPr>
              <w:t xml:space="preserve">Pillar</w:t>
            </w:r>
          </w:p>
        </w:tc>
        <w:tc>
          <w:tcPr>
            <w:tcW w:w="5200" w:type="dxa"/>
            <w:shd w:val="clear" w:color="auto" w:fill="1B2A4E"/>
            <w:tcMar>
              <w:top w:w="80" w:type="dxa"/>
              <w:left w:w="120" w:type="dxa"/>
              <w:bottom w:w="80" w:type="dxa"/>
              <w:right w:w="120" w:type="dxa"/>
            </w:tcMar>
            <w:vAlign w:val="center"/>
          </w:tcPr>
          <w:p>
            <w:r>
              <w:rPr>
                <w:b/>
                <w:bCs/>
                <w:color w:val="FFFFFF"/>
                <w:sz w:val="20"/>
                <w:szCs w:val="20"/>
              </w:rPr>
              <w:t xml:space="preserve">Module</w:t>
            </w:r>
          </w:p>
        </w:tc>
        <w:tc>
          <w:tcPr>
            <w:tcW w:w="1600" w:type="dxa"/>
            <w:shd w:val="clear" w:color="auto" w:fill="1B2A4E"/>
            <w:tcMar>
              <w:top w:w="80" w:type="dxa"/>
              <w:left w:w="120" w:type="dxa"/>
              <w:bottom w:w="80" w:type="dxa"/>
              <w:right w:w="120" w:type="dxa"/>
            </w:tcMar>
            <w:vAlign w:val="center"/>
          </w:tcPr>
          <w:p>
            <w:r>
              <w:rPr>
                <w:b/>
                <w:bCs/>
                <w:color w:val="FFFFFF"/>
                <w:sz w:val="20"/>
                <w:szCs w:val="20"/>
              </w:rPr>
              <w:t xml:space="preserve">Selected</w:t>
            </w:r>
          </w:p>
        </w:tc>
      </w:tr>
      <w:tr>
        <w:tc>
          <w:tcPr>
            <w:tcW w:w="2200" w:type="dxa"/>
            <w:tcMar>
              <w:top w:w="80" w:type="dxa"/>
              <w:left w:w="120" w:type="dxa"/>
              <w:bottom w:w="80" w:type="dxa"/>
              <w:right w:w="120" w:type="dxa"/>
            </w:tcMar>
            <w:vAlign w:val="center"/>
          </w:tcPr>
          <w:p>
            <w:r>
              <w:rPr>
                <w:sz w:val="20"/>
                <w:szCs w:val="20"/>
              </w:rPr>
              <w:t xml:space="preserve">Overall</w:t>
            </w:r>
          </w:p>
        </w:tc>
        <w:tc>
          <w:tcPr>
            <w:tcW w:w="5200" w:type="dxa"/>
            <w:tcMar>
              <w:top w:w="80" w:type="dxa"/>
              <w:left w:w="120" w:type="dxa"/>
              <w:bottom w:w="80" w:type="dxa"/>
              <w:right w:w="120" w:type="dxa"/>
            </w:tcMar>
            <w:vAlign w:val="center"/>
          </w:tcPr>
          <w:p>
            <w:r>
              <w:rPr>
                <w:sz w:val="20"/>
                <w:szCs w:val="20"/>
              </w:rPr>
              <w:t xml:space="preserve">Email Notificationss</w:t>
            </w:r>
          </w:p>
        </w:tc>
        <w:tc>
          <w:tcPr>
            <w:tcW w:w="1600" w:type="dxa"/>
            <w:tcMar>
              <w:top w:w="80" w:type="dxa"/>
              <w:left w:w="120" w:type="dxa"/>
              <w:bottom w:w="80" w:type="dxa"/>
              <w:right w:w="120" w:type="dxa"/>
            </w:tcMar>
            <w:vAlign w:val="center"/>
          </w:tcPr>
          <w:p>
            <w:r>
              <w:rPr>
                <w:b/>
                <w:bCs/>
                <w:color w:val="2E7D6B"/>
                <w:sz w:val="20"/>
                <w:szCs w:val="20"/>
              </w:rPr>
              <w:t xml:space="preserve">Yes</w:t>
            </w:r>
          </w:p>
        </w:tc>
      </w:tr>
    </w:tbl>
    <w:p>
      <w:pPr>
        <w:spacing w:after="200"/>
      </w:pPr>
    </w:p>
    <w:p>
      <w:pPr>
        <w:pBdr>
          <w:bottom w:val="single" w:color="2E7D6B" w:sz="6" w:space="4"/>
        </w:pBdr>
        <w:spacing w:before="300" w:after="150"/>
      </w:pPr>
      <w:r>
        <w:rPr>
          <w:b/>
          <w:bCs/>
          <w:caps/>
          <w:color w:val="1B2A4E"/>
          <w:sz w:val="26"/>
          <w:szCs w:val="26"/>
        </w:rPr>
        <w:t xml:space="preserve">Price for Implementation</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5800"/>
        <w:gridCol w:w="3200"/>
      </w:tblGrid>
      <w:tr>
        <w:tc>
          <w:tcPr>
            <w:tcW w:w="5800" w:type="dxa"/>
            <w:shd w:val="clear" w:color="auto" w:fill="1B2A4E"/>
            <w:tcMar>
              <w:top w:w="80" w:type="dxa"/>
              <w:left w:w="120" w:type="dxa"/>
              <w:bottom w:w="80" w:type="dxa"/>
              <w:right w:w="120" w:type="dxa"/>
            </w:tcMar>
            <w:vAlign w:val="center"/>
          </w:tcPr>
          <w:p>
            <w:r>
              <w:rPr>
                <w:b/>
                <w:bCs/>
                <w:color w:val="FFFFFF"/>
                <w:sz w:val="20"/>
                <w:szCs w:val="20"/>
              </w:rPr>
              <w:t xml:space="preserve">Particulars</w:t>
            </w:r>
          </w:p>
        </w:tc>
        <w:tc>
          <w:tcPr>
            <w:tcW w:w="3200" w:type="dxa"/>
            <w:shd w:val="clear" w:color="auto" w:fill="1B2A4E"/>
            <w:tcMar>
              <w:top w:w="80" w:type="dxa"/>
              <w:left w:w="120" w:type="dxa"/>
              <w:bottom w:w="80" w:type="dxa"/>
              <w:right w:w="120" w:type="dxa"/>
            </w:tcMar>
            <w:vAlign w:val="center"/>
          </w:tcPr>
          <w:p>
            <w:r>
              <w:rPr>
                <w:b/>
                <w:bCs/>
                <w:color w:val="FFFFFF"/>
                <w:sz w:val="20"/>
                <w:szCs w:val="20"/>
              </w:rPr>
              <w:t xml:space="preserve">Price (INR)</w:t>
            </w:r>
          </w:p>
        </w:tc>
      </w:tr>
      <w:tr>
        <w:tc>
          <w:tcPr>
            <w:tcW w:w="5800" w:type="dxa"/>
            <w:tcMar>
              <w:top w:w="80" w:type="dxa"/>
              <w:left w:w="120" w:type="dxa"/>
              <w:bottom w:w="80" w:type="dxa"/>
              <w:right w:w="120" w:type="dxa"/>
            </w:tcMar>
          </w:tcPr>
          <w:p>
            <w:r>
              <w:rPr>
                <w:b w:val="false"/>
                <w:bCs w:val="false"/>
                <w:sz w:val="20"/>
                <w:szCs w:val="20"/>
              </w:rPr>
              <w:t xml:space="preserve">Product License - Email Notificationss (single installation). Scope as listed above.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Customization - any additional development beyond scope, charged at INR 7,000 / man-day.</w:t>
            </w:r>
          </w:p>
        </w:tc>
        <w:tc>
          <w:tcPr>
            <w:tcW w:w="3200" w:type="dxa"/>
            <w:shd w:val="clear" w:color="auto" w:fill="F2F4F7"/>
            <w:tcMar>
              <w:top w:w="80" w:type="dxa"/>
              <w:left w:w="120" w:type="dxa"/>
              <w:bottom w:w="80" w:type="dxa"/>
              <w:right w:w="120" w:type="dxa"/>
            </w:tcMar>
          </w:tcPr>
          <w:p>
            <w:r>
              <w:rPr>
                <w:b w:val="false"/>
                <w:bCs w:val="false"/>
                <w:sz w:val="20"/>
                <w:szCs w:val="20"/>
              </w:rPr>
              <w:t xml:space="preserve">TBD</w:t>
            </w:r>
          </w:p>
        </w:tc>
      </w:tr>
      <w:tr>
        <w:tc>
          <w:tcPr>
            <w:tcW w:w="5800" w:type="dxa"/>
            <w:tcMar>
              <w:top w:w="80" w:type="dxa"/>
              <w:left w:w="120" w:type="dxa"/>
              <w:bottom w:w="80" w:type="dxa"/>
              <w:right w:w="120" w:type="dxa"/>
            </w:tcMar>
          </w:tcPr>
          <w:p>
            <w:r>
              <w:rPr>
                <w:b w:val="false"/>
                <w:bCs w:val="false"/>
                <w:sz w:val="20"/>
                <w:szCs w:val="20"/>
              </w:rPr>
              <w:t xml:space="preserve">Annual License Renewal - covers upgrades, bug fixes &amp; statutory changes. Includes 7 man-days; excess is chargeable.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Support Services - commence 1 month after Go-Live.</w:t>
            </w:r>
          </w:p>
        </w:tc>
        <w:tc>
          <w:tcPr>
            <w:tcW w:w="3200" w:type="dxa"/>
            <w:shd w:val="clear" w:color="auto" w:fill="F2F4F7"/>
            <w:tcMar>
              <w:top w:w="80" w:type="dxa"/>
              <w:left w:w="120" w:type="dxa"/>
              <w:bottom w:w="80" w:type="dxa"/>
              <w:right w:w="120" w:type="dxa"/>
            </w:tcMar>
          </w:tcPr>
          <w:p>
            <w:r>
              <w:rPr>
                <w:b w:val="false"/>
                <w:bCs w:val="false"/>
                <w:sz w:val="20"/>
                <w:szCs w:val="20"/>
              </w:rPr>
              <w:t xml:space="preserve"/>
            </w:r>
          </w:p>
        </w:tc>
      </w:tr>
      <w:tr>
        <w:tc>
          <w:tcPr>
            <w:tcW w:w="5800" w:type="dxa"/>
            <w:tcMar>
              <w:top w:w="80" w:type="dxa"/>
              <w:left w:w="120" w:type="dxa"/>
              <w:bottom w:w="80" w:type="dxa"/>
              <w:right w:w="120" w:type="dxa"/>
            </w:tcMar>
          </w:tcPr>
          <w:p>
            <w:r>
              <w:rPr>
                <w:b w:val="false"/>
                <w:bCs w:val="false"/>
                <w:sz w:val="20"/>
                <w:szCs w:val="20"/>
              </w:rPr>
              <w:t xml:space="preserve">Payment Terms - 70% advance with PO, 20% on implementation, 10% on Go-Live.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Taxes - as applicable.</w:t>
            </w:r>
          </w:p>
        </w:tc>
        <w:tc>
          <w:tcPr>
            <w:tcW w:w="3200" w:type="dxa"/>
            <w:shd w:val="clear" w:color="auto" w:fill="F2F4F7"/>
            <w:tcMar>
              <w:top w:w="80" w:type="dxa"/>
              <w:left w:w="120" w:type="dxa"/>
              <w:bottom w:w="80" w:type="dxa"/>
              <w:right w:w="120" w:type="dxa"/>
            </w:tcMar>
          </w:tcPr>
          <w:p>
            <w:r>
              <w:rPr>
                <w:b w:val="false"/>
                <w:bCs w:val="false"/>
                <w:sz w:val="20"/>
                <w:szCs w:val="20"/>
              </w:rPr>
              <w:t xml:space="preserve"/>
            </w:r>
          </w:p>
        </w:tc>
      </w:tr>
    </w:tbl>
    <w:p>
      <w:pPr>
        <w:spacing w:after="200"/>
      </w:pPr>
    </w:p>
    <w:p>
      <w:pPr>
        <w:pBdr>
          <w:bottom w:val="single" w:color="2E7D6B" w:sz="6" w:space="4"/>
        </w:pBdr>
        <w:spacing w:before="300" w:after="150"/>
      </w:pPr>
      <w:r>
        <w:rPr>
          <w:b/>
          <w:bCs/>
          <w:caps/>
          <w:color w:val="1B2A4E"/>
          <w:sz w:val="26"/>
          <w:szCs w:val="26"/>
        </w:rPr>
        <w:t xml:space="preserve">Terms and Conditions</w:t>
      </w:r>
    </w:p>
    <w:p>
      <w:pPr>
        <w:spacing w:before="160" w:after="40"/>
      </w:pPr>
      <w:r>
        <w:rPr>
          <w:b/>
          <w:bCs/>
          <w:color w:val="1B2A4E"/>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before="160" w:after="40"/>
      </w:pPr>
      <w:r>
        <w:rPr>
          <w:b/>
          <w:bCs/>
          <w:color w:val="1B2A4E"/>
          <w:sz w:val="20"/>
          <w:szCs w:val="20"/>
        </w:rPr>
        <w:t xml:space="preserve">2. License</w:t>
      </w:r>
    </w:p>
    <w:p>
      <w:pPr>
        <w:spacing w:after="60"/>
      </w:pPr>
      <w:r>
        <w:rPr>
          <w:sz w:val="20"/>
          <w:szCs w:val="20"/>
        </w:rPr>
        <w:t xml:space="preserve">You are responsible for holding valid licenses for any Operating System software required.</w:t>
      </w:r>
    </w:p>
    <w:p>
      <w:pPr>
        <w:spacing w:before="160" w:after="40"/>
      </w:pPr>
      <w:r>
        <w:rPr>
          <w:b/>
          <w:bCs/>
          <w:color w:val="1B2A4E"/>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before="160" w:after="40"/>
      </w:pPr>
      <w:r>
        <w:rPr>
          <w:b/>
          <w:bCs/>
          <w:color w:val="1B2A4E"/>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before="160" w:after="40"/>
      </w:pPr>
      <w:r>
        <w:rPr>
          <w:b/>
          <w:bCs/>
          <w:color w:val="1B2A4E"/>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before="160" w:after="40"/>
      </w:pPr>
      <w:r>
        <w:rPr>
          <w:b/>
          <w:bCs/>
          <w:color w:val="1B2A4E"/>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before="160" w:after="40"/>
      </w:pPr>
      <w:r>
        <w:rPr>
          <w:b/>
          <w:bCs/>
          <w:color w:val="1B2A4E"/>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before="160" w:after="40"/>
      </w:pPr>
      <w:r>
        <w:rPr>
          <w:b/>
          <w:bCs/>
          <w:color w:val="1B2A4E"/>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before="160" w:after="40"/>
      </w:pPr>
      <w:r>
        <w:rPr>
          <w:b/>
          <w:bCs/>
          <w:color w:val="1B2A4E"/>
          <w:sz w:val="20"/>
          <w:szCs w:val="20"/>
        </w:rPr>
        <w:t xml:space="preserve">9. Validity of the Offer</w:t>
      </w:r>
    </w:p>
    <w:p>
      <w:pPr>
        <w:spacing w:after="60"/>
      </w:pPr>
      <w:r>
        <w:rPr>
          <w:sz w:val="20"/>
          <w:szCs w:val="20"/>
        </w:rPr>
        <w:t xml:space="preserve">This offer is valid up to 14 Aug 2026.</w:t>
      </w:r>
    </w:p>
    <w:p>
      <w:pPr>
        <w:spacing w:before="160" w:after="40"/>
      </w:pPr>
      <w:r>
        <w:rPr>
          <w:b/>
          <w:bCs/>
          <w:color w:val="1B2A4E"/>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before="160" w:after="40"/>
      </w:pPr>
      <w:r>
        <w:rPr>
          <w:b/>
          <w:bCs/>
          <w:color w:val="1B2A4E"/>
          <w:sz w:val="20"/>
          <w:szCs w:val="20"/>
        </w:rPr>
        <w:t xml:space="preserve">11. Legal</w:t>
      </w:r>
    </w:p>
    <w:p>
      <w:pPr>
        <w:spacing w:after="60"/>
      </w:pPr>
      <w:r>
        <w:rPr>
          <w:sz w:val="20"/>
          <w:szCs w:val="20"/>
        </w:rPr>
        <w:t xml:space="preserve">Disputes arising from this order are subject to the jurisdiction of courts at Pune, Maharashtra.</w:t>
      </w:r>
    </w:p>
    <w:p>
      <w:pPr>
        <w:spacing w:before="300" w:after="40"/>
      </w:pPr>
      <w:r>
        <w:t xml:space="preserve">We hope this document aligns with our discussions. Please feel free to reach out for any clarification.</w:t>
      </w:r>
    </w:p>
    <w:p>
      <w:pPr>
        <w:spacing w:before="200" w:after="40"/>
      </w:pPr>
      <w:r>
        <w:t xml:space="preserve">Sincerely,</w:t>
      </w:r>
    </w:p>
    <w:p>
      <w:pPr>
        <w:spacing w:after="20"/>
      </w:pPr>
      <w:r>
        <w:rPr>
          <w:b/>
          <w:bCs/>
          <w:color w:val="1B2A4E"/>
        </w:rPr>
        <w:t xml:space="preserve">For BlechTek Software Solutions LLP</w:t>
      </w:r>
    </w:p>
    <w:p>
      <w:pPr>
        <w:spacing w:before="200"/>
      </w:pPr>
      <w:r>
        <w:rPr>
          <w:b/>
          <w:bCs/>
          <w:color w:val="1B2A4E"/>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8"/>
        <w:sz w:val="16"/>
        <w:szCs w:val="16"/>
      </w:rPr>
      <w:t xml:space="preserve">BlechTek Software Solutions LLP</w:t>
    </w:r>
  </w:p>
  <w:p>
    <w:pPr>
      <w:jc w:val="center"/>
    </w:pPr>
    <w:r>
      <w:rPr>
        <w:color w:val="5B6478"/>
        <w:sz w:val="14"/>
        <w:szCs w:val="14"/>
      </w:rPr>
      <w:t xml:space="preserve">Address: S.NO. 257/2/2A/4 ABC Business Center, S Floor, Opp. WindMill Village Road, WindMill Village, Bavdhan, Pune 411021, Maharashtra</w:t>
    </w:r>
  </w:p>
  <w:p>
    <w:pPr>
      <w:jc w:val="center"/>
    </w:pPr>
    <w:r>
      <w:rPr>
        <w:color w:val="5B6478"/>
        <w:sz w:val="14"/>
        <w:szCs w:val="14"/>
      </w:rPr>
      <w:t xml:space="preserve">LLP No.: ACD-6620 | GST NO.: 27ABCFB0283B1Z0 | MSME Certificate No.: UDYAM-MH-26-0746115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6B" w:sz="12" w:space="6"/>
      </w:pBdr>
      <w:tabs>
        <w:tab w:val="right" w:pos="9026"/>
      </w:tabs>
    </w:pPr>
    <w:r>
      <w:rPr>
        <w:b/>
        <w:bCs/>
        <w:color w:val="1B2A4E"/>
        <w:sz w:val="24"/>
        <w:szCs w:val="24"/>
      </w:rPr>
      <w:r>
        <w:drawing>
          <wp:inline>
            <wp:extent cx="1428750" cy="3810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ic:cNvPicPr/>
                  </pic:nvPicPr>
                  <pic:blipFill>
                    <a:blip r:embed="Ra9d1c18583ce4c5a"/>
                    <a:stretch>
                      <a:fillRect/>
                    </a:stretch>
                  </pic:blipFill>
                  <pic:spPr>
                    <a:xfrm>
                      <a:off x="0" y="0"/>
                      <a:ext cx="1428750" cy="381000"/>
                    </a:xfrm>
                    <a:prstGeom prst="rect">
                      <a:avLst/>
                    </a:prstGeom>
                  </pic:spPr>
                </pic:pic>
              </a:graphicData>
            </a:graphic>
          </wp:inline>
        </w:drawing>
      </w:r>
    </w:r>
    <w:r>
      <w:rPr>
        <w:b/>
        <w:bCs/>
        <w:color w:val="2E7D6B"/>
        <w:sz w:val="20"/>
        <w:szCs w:val="20"/>
      </w:rPr>
      <w:t xml:space="preserve">	QUOTATION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&#65279;<?xml version="1.0" encoding="utf-8"?><Relationships xmlns="http://schemas.openxmlformats.org/package/2006/relationships"><Relationship Type="http://schemas.openxmlformats.org/officeDocument/2006/relationships/image" Target="/media/image.png" Id="Ra9d1c18583ce4c5a"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docProps/custom.xml><?xml version="1.0" encoding="utf-8"?>
<Properties xmlns="http://schemas.openxmlformats.org/officeDocument/2006/custom-properties" xmlns:vt="http://schemas.openxmlformats.org/officeDocument/2006/docPropsVTypes"/>
</file>