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B2A4E"/>
        </w:rPr>
        <w:t xml:space="preserve">QUOTATION TO</w:t>
      </w:r>
    </w:p>
    <w:p>
      <w:pPr>
        <w:spacing w:after="120"/>
      </w:pPr>
      <w:r>
        <w:rPr>
          <w:b/>
          <w:bCs/>
          <w:color w:val="1B2A4E"/>
        </w:rPr>
        <w:t xml:space="preserve">Name: gfdsvc</w:t>
      </w:r>
      <w:r>
        <w:rPr>
          <w:b/>
          <w:bCs/>
          <w:color w:val="2E7D6B"/>
        </w:rPr>
        <w:t xml:space="preserve"/>
      </w:r>
    </w:p>
    <w:p>
      <w:pPr>
        <w:spacing w:after="120"/>
      </w:pPr>
      <w:r>
        <w:rPr>
          <w:b/>
          <w:bCs/>
          <w:color w:val="1B2A4E"/>
        </w:rPr>
        <w:t xml:space="preserve">Address: srefssfsd</w:t>
      </w:r>
      <w:r>
        <w:rPr>
          <w:b/>
          <w:bCs/>
          <w:color w:val="2E7D6B"/>
        </w:rPr>
        <w:t xml:space="preserve"/>
      </w:r>
    </w:p>
    <w:p>
      <w:pPr>
        <w:spacing w:after="200"/>
      </w:pPr>
      <w:r>
        <w:rPr>
          <w:b/>
          <w:bCs/>
          <w:color w:val="1B2A4E"/>
        </w:rPr>
        <w:t xml:space="preserve">Contact No.: +912324354355   |   Email: ganeshbelavi2002@gmail.com</w:t>
      </w:r>
      <w:r>
        <w:rPr>
          <w:b/>
          <w:bCs/>
          <w:color w:val="2E7D6B"/>
        </w:rPr>
        <w:t xml:space="preserve"/>
      </w:r>
      <w:r>
        <w:t xml:space="preserve"/>
      </w:r>
      <w:r>
        <w:rPr>
          <w:b/>
          <w:bCs/>
          <w:color w:val="1B2A4E"/>
        </w:rPr>
        <w:t xml:space="preserve"/>
      </w:r>
      <w:r>
        <w:rPr>
          <w:b/>
          <w:bCs/>
          <w:color w:val="2E7D6B"/>
        </w:rPr>
        <w:t xml:space="preserve"/>
      </w:r>
    </w:p>
    <w:p>
      <w:pPr>
        <w:spacing w:after="80"/>
      </w:pPr>
      <w:r>
        <w:rPr>
          <w:b/>
          <w:bCs/>
          <w:color w:val="1B2A4E"/>
        </w:rPr>
        <w:t xml:space="preserve">Reference: Our discussions on implementation of LPA (Layered Process Audits) in your organization.</w:t>
      </w:r>
      <w:r>
        <w:t xml:space="preserve"/>
      </w:r>
      <w:r>
        <w:rPr>
          <w:b/>
          <w:bCs/>
          <w:color w:val="2E7D6B"/>
        </w:rPr>
        <w:t xml:space="preserve"/>
      </w:r>
      <w:r>
        <w:t xml:space="preserve"/>
      </w:r>
    </w:p>
    <w:p>
      <w:pPr>
        <w:spacing w:after="200"/>
      </w:pPr>
      <w:r>
        <w:rPr>
          <w:b/>
          <w:bCs/>
          <w:color w:val="1B2A4E"/>
        </w:rPr>
        <w:t xml:space="preserve">Subject: Business proposal for IT &amp; Operations changeover consultancy and implementation of LPA (Layered Process Audits).</w:t>
      </w:r>
      <w:r>
        <w:t xml:space="preserve"/>
      </w:r>
      <w:r>
        <w:rPr>
          <w:b/>
          <w:bCs/>
          <w:color w:val="2E7D6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aa.</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Goals and Expectations</w:t>
      </w:r>
    </w:p>
    <w:p>
      <w:pPr>
        <w:spacing w:after="120"/>
      </w:pPr>
      <w:r>
        <w:t xml:space="preserve">Our experts will be involved in redefining the operations setup for sustainable growth and required digitalization at aa.</w:t>
      </w:r>
      <w:r>
        <w:rPr>
          <w:b/>
          <w:bCs/>
          <w:color w:val="2E7D6B"/>
        </w:rPr>
        <w:t xml:space="preserve"/>
      </w:r>
      <w:r>
        <w:t xml:space="preserve"/>
      </w:r>
    </w:p>
    <w:p>
      <w:pPr>
        <w:spacing w:after="100"/>
      </w:pPr>
      <w:r>
        <w:t xml:space="preserve">Digitization of LPA (Layered Process Audits) replaces manual documentation, accelerates the approval process through centralized data management, and improves traceability while reducing administrative overhead.</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LPA (Layered Process Audits)</w:t>
      </w:r>
      <w:r>
        <w:rPr>
          <w:b/>
          <w:bCs/>
          <w:color w:val="2E7D6B"/>
        </w:rPr>
        <w:t xml:space="preserve"/>
      </w:r>
    </w:p>
    <w:p>
      <w:pPr>
        <w:spacing w:after="200"/>
      </w:pPr>
      <w:r>
        <w:t xml:space="preserve">Deliverables do not include the source code. Use of the solution is under license from BlechTek Software Solutions LLP.</w:t>
      </w:r>
    </w:p>
    <w:p>
      <w:pPr>
        <w:pBdr>
          <w:bottom w:val="single" w:color="2E7D6B" w:sz="6" w:space="4"/>
        </w:pBdr>
        <w:spacing w:before="300" w:after="150"/>
      </w:pPr>
      <w:r>
        <w:rPr>
          <w:b/>
          <w:bCs/>
          <w:caps/>
          <w:color w:val="1B2A4E"/>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1B2A4E"/>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1B2A4E"/>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1B2A4E"/>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LPA (Layered Process Audits)</w:t>
            </w:r>
          </w:p>
        </w:tc>
        <w:tc>
          <w:tcPr>
            <w:tcW w:w="1600" w:type="dxa"/>
            <w:tcMar>
              <w:top w:w="80" w:type="dxa"/>
              <w:left w:w="120" w:type="dxa"/>
              <w:bottom w:w="80" w:type="dxa"/>
              <w:right w:w="120" w:type="dxa"/>
            </w:tcMar>
            <w:vAlign w:val="center"/>
          </w:tcPr>
          <w:p>
            <w:r>
              <w:rPr>
                <w:b/>
                <w:bCs/>
                <w:color w:val="2E7D6B"/>
                <w:sz w:val="20"/>
                <w:szCs w:val="20"/>
              </w:rPr>
              <w:t xml:space="preserve">Yes</w:t>
            </w:r>
          </w:p>
        </w:tc>
      </w:tr>
    </w:tbl>
    <w:p>
      <w:pPr>
        <w:spacing w:after="200"/>
      </w:pPr>
    </w:p>
    <w:p>
      <w:pPr>
        <w:pBdr>
          <w:bottom w:val="single" w:color="2E7D6B" w:sz="6" w:space="4"/>
        </w:pBdr>
        <w:spacing w:before="300" w:after="150"/>
      </w:pPr>
      <w:r>
        <w:rPr>
          <w:b/>
          <w:bCs/>
          <w:caps/>
          <w:color w:val="1B2A4E"/>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w="5800" w:type="dxa"/>
            <w:shd w:val="clear" w:color="auto" w:fill="1B2A4E"/>
            <w:tcMar>
              <w:top w:w="80" w:type="dxa"/>
              <w:left w:w="120" w:type="dxa"/>
              <w:bottom w:w="80" w:type="dxa"/>
              <w:right w:w="120" w:type="dxa"/>
            </w:tcMar>
            <w:vAlign w:val="center"/>
          </w:tcPr>
          <w:p>
            <w:r>
              <w:rPr>
                <w:b/>
                <w:bCs/>
                <w:color w:val="FFFFFF"/>
                <w:sz w:val="20"/>
                <w:szCs w:val="20"/>
              </w:rPr>
              <w:t xml:space="preserve">Particulars</w:t>
            </w:r>
          </w:p>
        </w:tc>
        <w:tc>
          <w:tcPr>
            <w:tcW w:w="3200" w:type="dxa"/>
            <w:shd w:val="clear" w:color="auto" w:fill="1B2A4E"/>
            <w:tcMar>
              <w:top w:w="80" w:type="dxa"/>
              <w:left w:w="120" w:type="dxa"/>
              <w:bottom w:w="80" w:type="dxa"/>
              <w:right w:w="120" w:type="dxa"/>
            </w:tcMar>
            <w:vAlign w:val="center"/>
          </w:tcPr>
          <w:p>
            <w:r>
              <w:rPr>
                <w:b/>
                <w:bCs/>
                <w:color w:val="FFFFFF"/>
                <w:sz w:val="20"/>
                <w:szCs w:val="20"/>
              </w:rPr>
              <w:t xml:space="preserve">Price (INR)</w:t>
            </w:r>
          </w:p>
        </w:tc>
      </w:tr>
      <w:tr>
        <w:tc>
          <w:tcPr>
            <w:tcW w:w="5800" w:type="dxa"/>
            <w:tcMar>
              <w:top w:w="80" w:type="dxa"/>
              <w:left w:w="120" w:type="dxa"/>
              <w:bottom w:w="80" w:type="dxa"/>
              <w:right w:w="120" w:type="dxa"/>
            </w:tcMar>
          </w:tcPr>
          <w:p>
            <w:r>
              <w:rPr>
                <w:b w:val="false"/>
                <w:bCs w:val="false"/>
                <w:sz w:val="20"/>
                <w:szCs w:val="20"/>
              </w:rPr>
              <w:t xml:space="preserve">Product License - LPA (Layered Process Audits) (single installation). Scope as listed above.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Customization - any additional development beyond scope, charged at INR 7,000 / man-day.</w:t>
            </w:r>
          </w:p>
        </w:tc>
        <w:tc>
          <w:tcPr>
            <w:tcW w:w="3200" w:type="dxa"/>
            <w:shd w:val="clear" w:color="auto" w:fill="F2F4F7"/>
            <w:tcMar>
              <w:top w:w="80" w:type="dxa"/>
              <w:left w:w="120" w:type="dxa"/>
              <w:bottom w:w="80" w:type="dxa"/>
              <w:right w:w="120" w:type="dxa"/>
            </w:tcMar>
          </w:tcPr>
          <w:p>
            <w:r>
              <w:rPr>
                <w:b w:val="false"/>
                <w:bCs w:val="false"/>
                <w:sz w:val="20"/>
                <w:szCs w:val="20"/>
              </w:rPr>
              <w:t xml:space="preserve">TBD</w:t>
            </w:r>
          </w:p>
        </w:tc>
      </w:tr>
      <w:tr>
        <w:tc>
          <w:tcPr>
            <w:tcW w:w="5800" w:type="dxa"/>
            <w:tcMar>
              <w:top w:w="80" w:type="dxa"/>
              <w:left w:w="120" w:type="dxa"/>
              <w:bottom w:w="80" w:type="dxa"/>
              <w:right w:w="120" w:type="dxa"/>
            </w:tcMar>
          </w:tcPr>
          <w:p>
            <w:r>
              <w:rPr>
                <w:b w:val="false"/>
                <w:bCs w:val="false"/>
                <w:sz w:val="20"/>
                <w:szCs w:val="20"/>
              </w:rPr>
              <w:t xml:space="preserve">Annual License Renewal - covers upgrades, bug fixes &amp; statutory changes. Includes 7 man-days; excess is chargeable.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Support Services - commence 1 month after Go-Live.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r>
        <w:tc>
          <w:tcPr>
            <w:tcW w:w="5800" w:type="dxa"/>
            <w:tcMar>
              <w:top w:w="80" w:type="dxa"/>
              <w:left w:w="120" w:type="dxa"/>
              <w:bottom w:w="80" w:type="dxa"/>
              <w:right w:w="120" w:type="dxa"/>
            </w:tcMar>
          </w:tcPr>
          <w:p>
            <w:r>
              <w:rPr>
                <w:b w:val="false"/>
                <w:bCs w:val="false"/>
                <w:sz w:val="20"/>
                <w:szCs w:val="20"/>
              </w:rPr>
              <w:t xml:space="preserve">Payment Terms - 70% advance with PO, 20% on implementation, 10% on Go-Live.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Taxes - as applicable.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bl>
    <w:p>
      <w:pPr>
        <w:spacing w:after="200"/>
      </w:pPr>
    </w:p>
    <w:p>
      <w:pPr>
        <w:pBdr>
          <w:bottom w:val="single" w:color="2E7D6B" w:sz="6" w:space="4"/>
        </w:pBdr>
        <w:spacing w:before="300" w:after="150"/>
      </w:pPr>
      <w:r>
        <w:rPr>
          <w:b/>
          <w:bCs/>
          <w:caps/>
          <w:color w:val="1B2A4E"/>
          <w:sz w:val="26"/>
          <w:szCs w:val="26"/>
        </w:rPr>
        <w:t xml:space="preserve">Terms and Conditions</w:t>
      </w:r>
    </w:p>
    <w:p>
      <w:pPr>
        <w:spacing w:before="160" w:after="40"/>
      </w:pPr>
      <w:r>
        <w:rPr>
          <w:b/>
          <w:bCs/>
          <w:color w:val="1B2A4E"/>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1B2A4E"/>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1B2A4E"/>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1B2A4E"/>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1B2A4E"/>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1B2A4E"/>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1B2A4E"/>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1B2A4E"/>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1B2A4E"/>
          <w:sz w:val="20"/>
          <w:szCs w:val="20"/>
        </w:rPr>
        <w:t xml:space="preserve">9. Validity of the Offer</w:t>
      </w:r>
    </w:p>
    <w:p>
      <w:pPr>
        <w:spacing w:after="60"/>
      </w:pPr>
      <w:r>
        <w:rPr>
          <w:sz w:val="20"/>
          <w:szCs w:val="20"/>
        </w:rPr>
        <w:t xml:space="preserve">This offer is valid up to 14 Aug 2026.</w:t>
      </w:r>
    </w:p>
    <w:p>
      <w:pPr>
        <w:spacing w:before="160" w:after="40"/>
      </w:pPr>
      <w:r>
        <w:rPr>
          <w:b/>
          <w:bCs/>
          <w:color w:val="1B2A4E"/>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1B2A4E"/>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1B2A4E"/>
        </w:rPr>
        <w:t xml:space="preserve">For BlechTek Software Solutions LLP</w:t>
      </w:r>
    </w:p>
    <w:p>
      <w:pPr>
        <w:spacing w:before="200"/>
      </w:pPr>
      <w:r>
        <w:rPr>
          <w:b/>
          <w:bCs/>
          <w:color w:val="1B2A4E"/>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6B" w:sz="12" w:space="6"/>
      </w:pBdr>
      <w:tabs>
        <w:tab w:val="right" w:pos="9026"/>
      </w:tabs>
    </w:pPr>
    <w:r>
      <w:rPr>
        <w:b/>
        <w:bCs/>
        <w:color w:val="1B2A4E"/>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80ff414176c3473a"/>
                    <a:stretch>
                      <a:fillRect/>
                    </a:stretch>
                  </pic:blipFill>
                  <pic:spPr>
                    <a:xfrm>
                      <a:off x="0" y="0"/>
                      <a:ext cx="1428750" cy="381000"/>
                    </a:xfrm>
                    <a:prstGeom prst="rect">
                      <a:avLst/>
                    </a:prstGeom>
                  </pic:spPr>
                </pic:pic>
              </a:graphicData>
            </a:graphic>
          </wp:inline>
        </w:drawing>
      </w:r>
    </w:r>
    <w:r>
      <w:rPr>
        <w:b/>
        <w:bCs/>
        <w:color w:val="2E7D6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80ff414176c3473a"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