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Ganesh Belavi</w:t>
      </w:r>
      <w:r>
        <w:rPr>
          <w:b/>
          <w:bCs/>
          <w:color w:val="2E7D6B"/>
        </w:rPr>
        <w:t xml:space="preserve"/>
      </w:r>
    </w:p>
    <w:p>
      <w:pPr>
        <w:spacing w:after="120"/>
      </w:pPr>
      <w:r>
        <w:rPr>
          <w:b/>
          <w:bCs/>
          <w:color w:val="1B2A4E"/>
        </w:rPr>
        <w:t xml:space="preserve">Address: Ingali</w:t>
      </w:r>
      <w:r>
        <w:rPr>
          <w:b/>
          <w:bCs/>
          <w:color w:val="2E7D6B"/>
        </w:rPr>
        <w:t xml:space="preserve"/>
      </w:r>
    </w:p>
    <w:p>
      <w:pPr>
        <w:spacing w:after="200"/>
      </w:pPr>
      <w:r>
        <w:rPr>
          <w:b/>
          <w:bCs/>
          <w:color w:val="1B2A4E"/>
        </w:rPr>
        <w:t xml:space="preserve">Contact No.: +916362280471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LPA (Layered Process Audits)s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LPA (Layered Process Audits)s.</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2E7D6B"/>
        </w:rPr>
        <w:t xml:space="preserve"/>
      </w:r>
      <w:r>
        <w:t xml:space="preserve"/>
      </w:r>
    </w:p>
    <w:p>
      <w:pPr>
        <w:spacing w:after="100"/>
      </w:pPr>
      <w:r>
        <w:t xml:space="preserve">Digitization of LPA (Layered Process Audits)s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LPA (Layered Process Audits)s</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Overall</w:t>
            </w:r>
          </w:p>
        </w:tc>
        <w:tc>
          <w:tcPr>
            <w:tcW w:w="5200" w:type="dxa"/>
            <w:tcMar>
              <w:top w:w="80" w:type="dxa"/>
              <w:left w:w="120" w:type="dxa"/>
              <w:bottom w:w="80" w:type="dxa"/>
              <w:right w:w="120" w:type="dxa"/>
            </w:tcMar>
            <w:vAlign w:val="center"/>
          </w:tcPr>
          <w:p>
            <w:r>
              <w:rPr>
                <w:sz w:val="20"/>
                <w:szCs w:val="20"/>
              </w:rPr>
              <w:t xml:space="preserve">LPA (Layered Process Audits)s</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w="5800" w:type="dxa"/>
            <w:shd w:val="clear" w:color="auto" w:fill="1B2A4E"/>
            <w:tcMar>
              <w:top w:w="80" w:type="dxa"/>
              <w:left w:w="120" w:type="dxa"/>
              <w:bottom w:w="80" w:type="dxa"/>
              <w:right w:w="120" w:type="dxa"/>
            </w:tcMar>
            <w:vAlign w:val="center"/>
          </w:tcPr>
          <w:p>
            <w:r>
              <w:rPr>
                <w:b/>
                <w:bCs/>
                <w:color w:val="FFFFFF"/>
                <w:sz w:val="20"/>
                <w:szCs w:val="20"/>
              </w:rPr>
              <w:t xml:space="preserve">Particulars</w:t>
            </w:r>
          </w:p>
        </w:tc>
        <w:tc>
          <w:tcPr>
            <w:tcW w:w="3200" w:type="dxa"/>
            <w:shd w:val="clear" w:color="auto" w:fill="1B2A4E"/>
            <w:tcMar>
              <w:top w:w="80" w:type="dxa"/>
              <w:left w:w="120" w:type="dxa"/>
              <w:bottom w:w="80" w:type="dxa"/>
              <w:right w:w="120" w:type="dxa"/>
            </w:tcMar>
            <w:vAlign w:val="center"/>
          </w:tcPr>
          <w:p>
            <w:r>
              <w:rPr>
                <w:b/>
                <w:bCs/>
                <w:color w:val="FFFFFF"/>
                <w:sz w:val="20"/>
                <w:szCs w:val="20"/>
              </w:rPr>
              <w:t xml:space="preserve">Price (INR)</w:t>
            </w:r>
          </w:p>
        </w:tc>
      </w:tr>
      <w:tr>
        <w:tc>
          <w:tcPr>
            <w:tcW w:w="5800" w:type="dxa"/>
            <w:tcMar>
              <w:top w:w="80" w:type="dxa"/>
              <w:left w:w="120" w:type="dxa"/>
              <w:bottom w:w="80" w:type="dxa"/>
              <w:right w:w="120" w:type="dxa"/>
            </w:tcMar>
          </w:tcPr>
          <w:p>
            <w:r>
              <w:rPr>
                <w:b w:val="false"/>
                <w:bCs w:val="false"/>
                <w:sz w:val="20"/>
                <w:szCs w:val="20"/>
              </w:rPr>
              <w:t xml:space="preserve">Product License - LPA (Layered Process Audits)s (single installation). Scope as listed above.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Customization - any additional development beyond scope, charged at INR 7,000 / man-day.</w:t>
            </w:r>
          </w:p>
        </w:tc>
        <w:tc>
          <w:tcPr>
            <w:tcW w:w="3200" w:type="dxa"/>
            <w:shd w:val="clear" w:color="auto" w:fill="F2F4F7"/>
            <w:tcMar>
              <w:top w:w="80" w:type="dxa"/>
              <w:left w:w="120" w:type="dxa"/>
              <w:bottom w:w="80" w:type="dxa"/>
              <w:right w:w="120" w:type="dxa"/>
            </w:tcMar>
          </w:tcPr>
          <w:p>
            <w:r>
              <w:rPr>
                <w:b w:val="false"/>
                <w:bCs w:val="false"/>
                <w:sz w:val="20"/>
                <w:szCs w:val="20"/>
              </w:rPr>
              <w:t xml:space="preserve">TBD</w:t>
            </w:r>
          </w:p>
        </w:tc>
      </w:tr>
      <w:tr>
        <w:tc>
          <w:tcPr>
            <w:tcW w:w="5800" w:type="dxa"/>
            <w:tcMar>
              <w:top w:w="80" w:type="dxa"/>
              <w:left w:w="120" w:type="dxa"/>
              <w:bottom w:w="80" w:type="dxa"/>
              <w:right w:w="120" w:type="dxa"/>
            </w:tcMar>
          </w:tcPr>
          <w:p>
            <w:r>
              <w:rPr>
                <w:b w:val="false"/>
                <w:bCs w:val="false"/>
                <w:sz w:val="20"/>
                <w:szCs w:val="20"/>
              </w:rPr>
              <w:t xml:space="preserve">Annual License Renewal - covers upgrades, bug fixes &amp; statutory changes. Includes 7 man-days; excess is chargeable.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Support Services - commence 1 month after Go-Live.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r>
        <w:tc>
          <w:tcPr>
            <w:tcW w:w="5800" w:type="dxa"/>
            <w:tcMar>
              <w:top w:w="80" w:type="dxa"/>
              <w:left w:w="120" w:type="dxa"/>
              <w:bottom w:w="80" w:type="dxa"/>
              <w:right w:w="120" w:type="dxa"/>
            </w:tcMar>
          </w:tcPr>
          <w:p>
            <w:r>
              <w:rPr>
                <w:b w:val="false"/>
                <w:bCs w:val="false"/>
                <w:sz w:val="20"/>
                <w:szCs w:val="20"/>
              </w:rPr>
              <w:t xml:space="preserve">Payment Terms - 70% advance with PO, 20% on implementation, 10% on Go-Live.</w:t>
            </w:r>
          </w:p>
        </w:tc>
        <w:tc>
          <w:tcPr>
            <w:tcW w:w="3200" w:type="dxa"/>
            <w:tcMar>
              <w:top w:w="80" w:type="dxa"/>
              <w:left w:w="120" w:type="dxa"/>
              <w:bottom w:w="80" w:type="dxa"/>
              <w:right w:w="120" w:type="dxa"/>
            </w:tcMar>
          </w:tcPr>
          <w:p>
            <w:r>
              <w:rPr>
                <w:b w:val="false"/>
                <w:bCs w:val="false"/>
                <w:sz w:val="20"/>
                <w:szCs w:val="20"/>
              </w:rPr>
              <w:t xml:space="preserve"/>
            </w:r>
          </w:p>
        </w:tc>
      </w:tr>
      <w:tr>
        <w:tc>
          <w:tcPr>
            <w:tcW w:w="5800" w:type="dxa"/>
            <w:shd w:val="clear" w:color="auto" w:fill="F2F4F7"/>
            <w:tcMar>
              <w:top w:w="80" w:type="dxa"/>
              <w:left w:w="120" w:type="dxa"/>
              <w:bottom w:w="80" w:type="dxa"/>
              <w:right w:w="120" w:type="dxa"/>
            </w:tcMar>
          </w:tcPr>
          <w:p>
            <w:r>
              <w:rPr>
                <w:b w:val="false"/>
                <w:bCs w:val="false"/>
                <w:sz w:val="20"/>
                <w:szCs w:val="20"/>
              </w:rPr>
              <w:t xml:space="preserve">Taxes - as applicable.</w:t>
            </w:r>
          </w:p>
        </w:tc>
        <w:tc>
          <w:tcPr>
            <w:tcW w:w="3200" w:type="dxa"/>
            <w:shd w:val="clear" w:color="auto" w:fill="F2F4F7"/>
            <w:tcMar>
              <w:top w:w="80" w:type="dxa"/>
              <w:left w:w="120" w:type="dxa"/>
              <w:bottom w:w="80" w:type="dxa"/>
              <w:right w:w="120" w:type="dxa"/>
            </w:tcMar>
          </w:tcPr>
          <w:p>
            <w:r>
              <w:rPr>
                <w:b w:val="false"/>
                <w:bCs w:val="false"/>
                <w:sz w:val="20"/>
                <w:szCs w:val="20"/>
              </w:rPr>
              <w:t xml:space="preserve"/>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14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8ac848c5acc845e8"/>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8ac848c5acc845e8"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