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b</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12as001s</w:t>
            </w:r>
          </w:p>
          <w:p>
            <w:r>
              <w:rPr>
                <w:rFonts w:ascii="Segoe UI" w:hAnsi="Segoe UI" w:eastAsia="Segoe UI" w:cs="Segoe UI"/>
                <w:b/>
                <w:bCs/>
                <w:color w:val="65AADB"/>
                <w:sz w:val="20"/>
                <w:szCs w:val="20"/>
              </w:rPr>
              <w:t xml:space="preserve">Date: 08 Aug 2026</w:t>
            </w:r>
          </w:p>
        </w:tc>
      </w:tr>
    </w:tbl>
    <w:p>
      <w:pPr>
        <w:spacing w:after="80"/>
      </w:pPr>
      <w:r>
        <w:rPr>
          <w:b/>
          <w:bCs/>
          <w:color w:val="65AADB"/>
        </w:rPr>
        <w:t xml:space="preserve">Reference: Our discussions on implementation of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b.</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b.</w:t>
      </w:r>
      <w:r>
        <w:rPr>
          <w:b/>
          <w:bCs/>
          <w:color w:val="65AAD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LPA (Layered Process Audits)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₹1,50,000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14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dc882b85bf04ff1"/>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dc882b85bf04ff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