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Acme Corp</w:t>
            </w:r>
          </w:p>
          <w:p>
            <w:r>
              <w:rPr>
                <w:b/>
                <w:bCs/>
                <w:color w:val="65AADB"/>
                <w:sz w:val="20"/>
                <w:szCs w:val="20"/>
              </w:rPr>
              <w:t xml:space="preserve">Address: 456 Supply Rd</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12as001s2</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Org-2.</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8e03cb0066c47c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p>
    <w:pPr>
      <w:pStyle w:val="Header"/>
    </w:pPr>
    <w:r>
      <w:drawing>
        <wp:inline>
          <wp:extent cx="6858000" cy="6858000"/>
          <wp:effectExtent l="0" t="0" r="0" b="0"/>
          <wp:docPr id="1" nam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
                  <pic:cNvPicPr/>
                </pic:nvPicPr>
                <pic:blipFill>
                  <a:blip r:embed="R133c3f5518274ed6"/>
                  <a:stretch>
                    <a:fillRect/>
                  </a:stretch>
                </pic:blipFill>
                <pic:spPr>
                  <a:xfrm>
                    <a:off x="0" y="0"/>
                    <a:ext cx="6858000" cy="6858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8e03cb0066c47c5" /><Relationship Type="http://schemas.openxmlformats.org/officeDocument/2006/relationships/image" Target="/media/image2.png" Id="R133c3f5518274ed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