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21 Aug 2026</w:t>
            </w:r>
          </w:p>
        </w:tc>
      </w:tr>
    </w:tbl>
    <w:p>
      <w:pPr>
        <w:spacing w:after="80"/>
      </w:pPr>
      <w:r>
        <w:rPr>
          <w:b/>
          <w:bCs/>
          <w:color w:val="65AADB"/>
        </w:rPr>
        <w:t xml:space="preserve">Reference: Our discussions on implementation of Email Notificationss &amp;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&amp;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w:t>
      </w:r>
      <w:r>
        <w:rPr>
          <w:b/>
          <w:bCs/>
          <w:color w:val="65AADB"/>
        </w:rPr>
        <w:t xml:space="preserve"/>
      </w:r>
      <w:r>
        <w:t xml:space="preserve"/>
      </w:r>
    </w:p>
    <w:p>
      <w:pPr>
        <w:spacing w:after="100"/>
      </w:pPr>
      <w:r>
        <w:t xml:space="preserve">Digitization of Email Notificationss &amp;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Email Notificationss &amp; 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₹1,39,500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bcd57cdb7cbc420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bcd57cdb7cbc420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