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Prime Motors</w:t>
      </w:r>
      <w:r>
        <w:rPr>
          <w:b/>
          <w:bCs/>
          <w:color w:val="2E7D6B"/>
        </w:rPr>
        <w:t xml:space="preserve"/>
      </w:r>
    </w:p>
    <w:p>
      <w:pPr>
        <w:spacing w:after="120"/>
      </w:pPr>
      <w:r>
        <w:rPr>
          <w:b/>
          <w:bCs/>
          <w:color w:val="1B2A4E"/>
        </w:rPr>
        <w:t xml:space="preserve">Address: 222 Auto Lane</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2E7D6B"/>
        </w:rPr>
        <w:t xml:space="preserve"/>
      </w:r>
      <w:r>
        <w:t xml:space="preserve"/>
      </w:r>
    </w:p>
    <w:p>
      <w:pPr>
        <w:spacing w:after="100"/>
      </w:pPr>
      <w:r>
        <w:t xml:space="preserve">Digitization of LPA (Layered Process Audits)s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2E7D6B"/>
                <w:sz w:val="20"/>
                <w:szCs w:val="20"/>
              </w:rPr>
              <w:t xml:space="preserve">No</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13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1c8bd501b3e7424d"/>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1c8bd501b3e7424d"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