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w:t>
            </w:r>
          </w:p>
          <w:p>
            <w:r>
              <w:rPr>
                <w:b/>
                <w:bCs/>
                <w:color w:val="65AADB"/>
                <w:sz w:val="20"/>
                <w:szCs w:val="20"/>
              </w:rPr>
              <w:t xml:space="preserve">Date: 20 Aug 2026</w:t>
            </w:r>
          </w:p>
        </w:tc>
      </w:tr>
    </w:tbl>
    <w:p>
      <w:pPr>
        <w:spacing w:after="80"/>
      </w:pPr>
      <w:r>
        <w:rPr>
          <w:b/>
          <w:bCs/>
          <w:color w:val="65AADB"/>
        </w:rPr>
        <w:t xml:space="preserve">Reference: Our discussions on implementation of Email Notificationss &amp;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&amp;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Email Notificationss &amp;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&amp;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Email Notificationss &amp; 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88a8b1e2dc141bc"/>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88a8b1e2dc141b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