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b/>
                <w:bCs/>
                <w:color w:val="65AADB"/>
                <w:sz w:val="24"/>
                <w:szCs w:val="24"/>
              </w:rPr>
              <w:t xml:space="preserve">QUOTATION TO</w:t>
            </w:r>
          </w:p>
        </w:tc>
      </w:tr>
      <w:tr>
        <w:tc>
          <w:tcPr>
            <w:tcMar>
              <w:top w:w="80" w:type="dxa"/>
              <w:left w:w="120" w:type="dxa"/>
              <w:bottom w:w="80" w:type="dxa"/>
              <w:right w:w="120" w:type="dxa"/>
            </w:tcMar>
          </w:tcPr>
          <w:p>
            <w:r>
              <w:rPr>
                <w:b/>
                <w:bCs/>
                <w:color w:val="65AADB"/>
                <w:sz w:val="20"/>
                <w:szCs w:val="20"/>
              </w:rPr>
              <w:t xml:space="preserve">Name: Ganesh Belavi</w:t>
            </w:r>
          </w:p>
          <w:p>
            <w:r>
              <w:rPr>
                <w:b/>
                <w:bCs/>
                <w:color w:val="65AADB"/>
                <w:sz w:val="20"/>
                <w:szCs w:val="20"/>
              </w:rPr>
              <w:t xml:space="preserve">Address: Ingali</w:t>
            </w:r>
          </w:p>
          <w:p>
            <w:r>
              <w:rPr>
                <w:b/>
                <w:bCs/>
                <w:color w:val="65AADB"/>
                <w:sz w:val="20"/>
                <w:szCs w:val="20"/>
              </w:rPr>
              <w:t xml:space="preserve">Contact No.: +916362280471</w:t>
            </w:r>
          </w:p>
          <w:p>
            <w:r>
              <w:rPr>
                <w:b/>
                <w:bCs/>
                <w:color w:val="65AADB"/>
                <w:sz w:val="20"/>
                <w:szCs w:val="20"/>
              </w:rPr>
              <w:t xml:space="preserve">Email: ganeshbelavi2002@gmail.com</w:t>
            </w:r>
          </w:p>
        </w:tc>
        <w:tc>
          <w:tcPr>
            <w:tcMar>
              <w:top w:w="80" w:type="dxa"/>
              <w:left w:w="120" w:type="dxa"/>
              <w:bottom w:w="80" w:type="dxa"/>
              <w:right w:w="120" w:type="dxa"/>
            </w:tcMar>
          </w:tcPr>
          <w:p>
            <w:r>
              <w:rPr>
                <w:b/>
                <w:bCs/>
                <w:color w:val="65AADB"/>
                <w:sz w:val="20"/>
                <w:szCs w:val="20"/>
              </w:rPr>
              <w:t xml:space="preserve">Quotation No.: 12as001sa</w:t>
            </w:r>
          </w:p>
          <w:p>
            <w:r>
              <w:rPr>
                <w:b/>
                <w:bCs/>
                <w:color w:val="65AADB"/>
                <w:sz w:val="20"/>
                <w:szCs w:val="20"/>
              </w:rPr>
              <w:t xml:space="preserve">Date: 22 Aug 2026</w:t>
            </w:r>
          </w:p>
        </w:tc>
      </w:tr>
    </w:tbl>
    <w:p>
      <w:pPr>
        <w:spacing w:after="80"/>
      </w:pPr>
      <w:r>
        <w:rPr>
          <w:b/>
          <w:bCs/>
          <w:color w:val="65AADB"/>
        </w:rPr>
        <w:t xml:space="preserve">Reference: Our discussions on implementation of Audit Tracker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qwefcc.</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qwefcc.</w:t>
      </w:r>
      <w:r>
        <w:rPr>
          <w:b/>
          <w:bCs/>
          <w:color w:val="65AAD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b/>
                <w:bCs/>
                <w:color w:val="FFFFFF"/>
                <w:sz w:val="20"/>
                <w:szCs w:val="20"/>
              </w:rPr>
              <w:t xml:space="preserve">Sr. No.</w:t>
            </w:r>
          </w:p>
        </w:tc>
        <w:tc>
          <w:tcPr>
            <w:tcMar>
              <w:top w:w="80" w:type="dxa"/>
              <w:left w:w="120" w:type="dxa"/>
              <w:bottom w:w="80" w:type="dxa"/>
              <w:right w:w="120" w:type="dxa"/>
            </w:tcMar>
            <w:vAlign w:val="center"/>
            <w:shd w:val="clear" w:color="auto" w:fill="65AADB"/>
          </w:tcPr>
          <w:p>
            <w:r>
              <w:rPr>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b/>
                <w:bCs/>
                <w:color w:val="FFFFFF"/>
                <w:sz w:val="20"/>
                <w:szCs w:val="20"/>
              </w:rPr>
              <w:t xml:space="preserve">Price in INR</w:t>
            </w:r>
          </w:p>
        </w:tc>
      </w:tr>
      <w:tr>
        <w:tc>
          <w:tcPr>
            <w:tcMar>
              <w:top w:w="80" w:type="dxa"/>
              <w:left w:w="120" w:type="dxa"/>
              <w:bottom w:w="80" w:type="dxa"/>
              <w:right w:w="120" w:type="dxa"/>
            </w:tcMar>
            <w:vAlign w:val="center"/>
          </w:tcPr>
          <w:p>
            <w:r>
              <w:rPr>
                <w:sz w:val="20"/>
                <w:szCs w:val="20"/>
              </w:rPr>
              <w:t xml:space="preserve">1</w:t>
            </w:r>
          </w:p>
        </w:tc>
        <w:tc>
          <w:tcPr>
            <w:tcMar>
              <w:top w:w="80" w:type="dxa"/>
              <w:left w:w="120" w:type="dxa"/>
              <w:bottom w:w="80" w:type="dxa"/>
              <w:right w:w="120" w:type="dxa"/>
            </w:tcMar>
            <w:vAlign w:val="center"/>
          </w:tcPr>
          <w:p>
            <w:r>
              <w:rPr>
                <w:sz w:val="20"/>
                <w:szCs w:val="20"/>
              </w:rPr>
              <w:t xml:space="preserve">Audit Tracker - Product License applicable for single installation.
Scope – As mentioned above</w:t>
            </w:r>
          </w:p>
        </w:tc>
        <w:tc>
          <w:tcPr>
            <w:tcMar>
              <w:top w:w="80" w:type="dxa"/>
              <w:left w:w="120" w:type="dxa"/>
              <w:bottom w:w="80" w:type="dxa"/>
              <w:right w:w="120" w:type="dxa"/>
            </w:tcMar>
            <w:vAlign w:val="center"/>
          </w:tcPr>
          <w:p>
            <w:r>
              <w:rPr>
                <w:sz w:val="20"/>
                <w:szCs w:val="20"/>
              </w:rPr>
              <w:t xml:space="preserve">₹9,700</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2</w:t>
            </w:r>
          </w:p>
        </w:tc>
        <w:tc>
          <w:tcPr>
            <w:tcMar>
              <w:top w:w="80" w:type="dxa"/>
              <w:left w:w="120" w:type="dxa"/>
              <w:bottom w:w="80" w:type="dxa"/>
              <w:right w:w="120" w:type="dxa"/>
            </w:tcMar>
            <w:vAlign w:val="center"/>
            <w:shd w:val="clear" w:color="auto" w:fill="F2F4F7"/>
          </w:tcPr>
          <w:p>
            <w:r>
              <w:rPr>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3</w:t>
            </w:r>
          </w:p>
        </w:tc>
        <w:tc>
          <w:tcPr>
            <w:tcMar>
              <w:top w:w="80" w:type="dxa"/>
              <w:left w:w="120" w:type="dxa"/>
              <w:bottom w:w="80" w:type="dxa"/>
              <w:right w:w="120" w:type="dxa"/>
            </w:tcMar>
            <w:vAlign w:val="center"/>
          </w:tcPr>
          <w:p>
            <w:r>
              <w:rPr>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4</w:t>
            </w:r>
          </w:p>
        </w:tc>
        <w:tc>
          <w:tcPr>
            <w:tcMar>
              <w:top w:w="80" w:type="dxa"/>
              <w:left w:w="120" w:type="dxa"/>
              <w:bottom w:w="80" w:type="dxa"/>
              <w:right w:w="120" w:type="dxa"/>
            </w:tcMar>
            <w:vAlign w:val="center"/>
            <w:shd w:val="clear" w:color="auto" w:fill="F2F4F7"/>
          </w:tcPr>
          <w:p>
            <w:r>
              <w:rPr>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5</w:t>
            </w:r>
          </w:p>
        </w:tc>
        <w:tc>
          <w:tcPr>
            <w:tcMar>
              <w:top w:w="80" w:type="dxa"/>
              <w:left w:w="120" w:type="dxa"/>
              <w:bottom w:w="80" w:type="dxa"/>
              <w:right w:w="120" w:type="dxa"/>
            </w:tcMar>
            <w:vAlign w:val="center"/>
          </w:tcPr>
          <w:p>
            <w:r>
              <w:rPr>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6</w:t>
            </w:r>
          </w:p>
        </w:tc>
        <w:tc>
          <w:tcPr>
            <w:tcMar>
              <w:top w:w="80" w:type="dxa"/>
              <w:left w:w="120" w:type="dxa"/>
              <w:bottom w:w="80" w:type="dxa"/>
              <w:right w:w="120" w:type="dxa"/>
            </w:tcMar>
            <w:vAlign w:val="center"/>
            <w:shd w:val="clear" w:color="auto" w:fill="F2F4F7"/>
          </w:tcPr>
          <w:p>
            <w:r>
              <w:rPr>
                <w:sz w:val="20"/>
                <w:szCs w:val="20"/>
              </w:rPr>
              <w:t xml:space="preserve">Support Level</w:t>
            </w:r>
          </w:p>
        </w:tc>
        <w:tc>
          <w:tcPr>
            <w:tcMar>
              <w:top w:w="80" w:type="dxa"/>
              <w:left w:w="120" w:type="dxa"/>
              <w:bottom w:w="80" w:type="dxa"/>
              <w:right w:w="120" w:type="dxa"/>
            </w:tcMar>
            <w:vAlign w:val="center"/>
            <w:shd w:val="clear" w:color="auto" w:fill="F2F4F7"/>
          </w:tcPr>
          <w:p>
            <w:r>
              <w:rPr>
                <w:sz w:val="20"/>
                <w:szCs w:val="20"/>
              </w:rPr>
              <w:t xml:space="preserve"/>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L5: Implementation - Master updation, new feature implementation</w:t>
            </w:r>
          </w:p>
        </w:tc>
        <w:tc>
          <w:tcPr>
            <w:tcMar>
              <w:top w:w="80" w:type="dxa"/>
              <w:left w:w="120" w:type="dxa"/>
              <w:bottom w:w="80" w:type="dxa"/>
              <w:right w:w="120" w:type="dxa"/>
            </w:tcMar>
            <w:vAlign w:val="center"/>
          </w:tcPr>
          <w:p>
            <w:r>
              <w:rPr>
                <w:sz w:val="20"/>
                <w:szCs w:val="20"/>
              </w:rPr>
              <w:t xml:space="preserve">On Chargeable</w:t>
            </w:r>
          </w:p>
        </w:tc>
      </w:tr>
      <w:tr>
        <w:tc>
          <w:tcPr>
            <w:tcMar>
              <w:top w:w="80" w:type="dxa"/>
              <w:left w:w="120" w:type="dxa"/>
              <w:bottom w:w="80" w:type="dxa"/>
              <w:right w:w="120" w:type="dxa"/>
            </w:tcMar>
            <w:vAlign w:val="center"/>
          </w:tcPr>
          <w:p>
            <w:r>
              <w:rPr>
                <w:sz w:val="20"/>
                <w:szCs w:val="20"/>
              </w:rPr>
              <w:t xml:space="preserve">7</w:t>
            </w:r>
          </w:p>
        </w:tc>
        <w:tc>
          <w:tcPr>
            <w:tcMar>
              <w:top w:w="80" w:type="dxa"/>
              <w:left w:w="120" w:type="dxa"/>
              <w:bottom w:w="80" w:type="dxa"/>
              <w:right w:w="120" w:type="dxa"/>
            </w:tcMar>
            <w:vAlign w:val="center"/>
          </w:tcPr>
          <w:p>
            <w:r>
              <w:rPr>
                <w:sz w:val="20"/>
                <w:szCs w:val="20"/>
              </w:rPr>
              <w:t xml:space="preserve">Taxes
As Applicable</w:t>
            </w:r>
          </w:p>
        </w:tc>
        <w:tc>
          <w:tcPr>
            <w:tcMar>
              <w:top w:w="80" w:type="dxa"/>
              <w:left w:w="120" w:type="dxa"/>
              <w:bottom w:w="80" w:type="dxa"/>
              <w:right w:w="120" w:type="dxa"/>
            </w:tcMar>
            <w:vAlign w:val="center"/>
          </w:tcPr>
          <w:p>
            <w:r>
              <w:rPr>
                <w:sz w:val="20"/>
                <w:szCs w:val="20"/>
              </w:rPr>
              <w:t xml:space="preserve">As Applicable</w:t>
            </w:r>
          </w:p>
        </w:tc>
      </w:tr>
    </w:tbl>
    <w:p>
      <w:pPr>
        <w:spacing w:after="200"/>
      </w:pPr>
    </w:p>
    <w:p>
      <w:pPr>
        <w:pBdr>
          <w:bottom w:val="single" w:color="65AADB" w:sz="6" w:space="4"/>
        </w:pBdr>
        <w:spacing w:before="300" w:after="150"/>
      </w:pPr>
      <w:r>
        <w:rPr>
          <w:b/>
          <w:bCs/>
          <w:caps/>
          <w:color w:val="65AADB"/>
          <w:sz w:val="26"/>
          <w:szCs w:val="26"/>
        </w:rPr>
        <w:t xml:space="preserve">Terms and Conditions</w:t>
      </w:r>
    </w:p>
    <w:p>
      <w:pPr>
        <w:spacing w:before="160" w:after="4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65AADB"/>
          <w:sz w:val="20"/>
          <w:szCs w:val="20"/>
        </w:rPr>
        <w:t xml:space="preserve">9. Validity of the Offer</w:t>
      </w:r>
    </w:p>
    <w:p>
      <w:pPr>
        <w:spacing w:after="60"/>
      </w:pPr>
      <w:r>
        <w:rPr>
          <w:sz w:val="20"/>
          <w:szCs w:val="20"/>
        </w:rPr>
        <w:t xml:space="preserve">This offer is valid up to 20 Aug 2026.</w:t>
      </w:r>
    </w:p>
    <w:p>
      <w:pPr>
        <w:spacing w:before="160" w:after="4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cd858af8a756472a"/>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cd858af8a756472a"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