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07 Aug 2026</w:t>
            </w:r>
          </w:p>
        </w:tc>
      </w:tr>
    </w:tbl>
    <w:p>
      <w:pPr>
        <w:spacing w:after="80"/>
      </w:pPr>
      <w:r>
        <w:rPr>
          <w:b/>
          <w:bCs/>
          <w:color w:val="65AADB"/>
        </w:rPr>
        <w:t xml:space="preserve">Reference: Our discussions on implementation of Audit Tracker, LPA (Layered Process Audits)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LPA (Layered Process Audits)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LPA (Layered Process Audits)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LPA (Layered Process Audits)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LPA (Layered Process Audits)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90f0922108447c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90f0922108447c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