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gfdsvc</w:t>
      </w:r>
      <w:r>
        <w:rPr>
          <w:b/>
          <w:bCs/>
          <w:color w:val="2E7D6B"/>
        </w:rPr>
        <w:t xml:space="preserve"/>
      </w:r>
    </w:p>
    <w:p>
      <w:pPr>
        <w:spacing w:after="120"/>
      </w:pPr>
      <w:r>
        <w:rPr>
          <w:b/>
          <w:bCs/>
          <w:color w:val="1B2A4E"/>
        </w:rPr>
        <w:t xml:space="preserve">Address: srefssfsd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Multi-Location (Extra cost, applicable for LPA only), PPAP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Multi-Location (Extra cost, applicable for LPA only), PPAP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aaassdfsx.</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aaassdfsx.</w:t>
      </w:r>
      <w:r>
        <w:rPr>
          <w:b/>
          <w:bCs/>
          <w:color w:val="2E7D6B"/>
        </w:rPr>
        <w:t xml:space="preserve"/>
      </w:r>
      <w:r>
        <w:t xml:space="preserve"/>
      </w:r>
    </w:p>
    <w:p>
      <w:pPr>
        <w:spacing w:after="100"/>
      </w:pPr>
      <w:r>
        <w:t xml:space="preserve">Digitization of Email Notifications, Multi-Location (Extra cost, applicable for LPA only), PPAP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Multi-Location (Extra cost, applicable for LPA only), PPAP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No</w:t>
            </w:r>
          </w:p>
        </w:tc>
        <w:tc>
          <w:tcPr>
            <w:tcW w:w="1" w:type="dxa"/>
            <w:shd w:val="clear" w:color="auto" w:fill="FFFFFF"/>
          </w:tcPr>
          <w:p>
            <w:r>
              <w:rPr>
                <w:color w:val="FFFFFF"/>
                <w:sz w:val="2"/>
                <w:szCs w:val="2"/>
              </w:rPr>
              <w:t xml:space="preserve">Audit Tracker</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LPA (Layered Process Audits)</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Multi-Location (Extra cost, applicable for LPA only)</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Email Notifications</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PPAP</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Multi-Location (Extra cost, applicable for LPA only), PPAP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28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9ab339944e3a47ed"/>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9ab339944e3a47ed"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