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30"/>
          <w:szCs w:val="30"/>
        </w:rPr>
        <w:t xml:space="preserve">Deciphering Immune Dysregulation in Sepsis Through Single-Cell Transcriptomics</w:t>
      </w:r>
    </w:p>
    <w:p>
      <w:pPr>
        <w:spacing w:after="100"/>
        <w:jc w:val="center"/>
      </w:pPr>
      <w:r>
        <w:rPr>
          <w:rFonts w:ascii="Times New Roman" w:cs="Times New Roman" w:eastAsia="Times New Roman" w:hAnsi="Times New Roman"/>
          <w:i/>
          <w:iCs/>
          <w:color w:val="333333"/>
          <w:sz w:val="22"/>
          <w:szCs w:val="22"/>
        </w:rPr>
        <w:t xml:space="preserve">A single-cell RNA-seq analysis of whole-blood immune populations across two independent cohorts</w:t>
      </w:r>
    </w:p>
    <w:p>
      <w:pPr>
        <w:spacing w:after="40"/>
        <w:jc w:val="center"/>
      </w:pPr>
      <w:r>
        <w:rPr>
          <w:rFonts w:ascii="Times New Roman" w:cs="Times New Roman" w:eastAsia="Times New Roman" w:hAnsi="Times New Roman"/>
          <w:b/>
          <w:bCs/>
          <w:color w:val="111111"/>
          <w:sz w:val="19"/>
          <w:szCs w:val="19"/>
        </w:rPr>
        <w:t xml:space="preserve">Gannah Sayed Saleh</w:t>
      </w:r>
    </w:p>
    <w:p>
      <w:pPr>
        <w:spacing w:after="40"/>
        <w:jc w:val="center"/>
      </w:pPr>
      <w:r>
        <w:rPr>
          <w:rFonts w:ascii="Times New Roman" w:cs="Times New Roman" w:eastAsia="Times New Roman" w:hAnsi="Times New Roman"/>
          <w:color w:val="111111"/>
          <w:sz w:val="19"/>
          <w:szCs w:val="19"/>
        </w:rPr>
        <w:t xml:space="preserve">Code &amp; analysis pipeline: </w:t>
      </w:r>
      <w:hyperlink w:history="1" r:id="rIdo4p3mvhl9px3wbwimacdq">
        <w:r>
          <w:rPr>
            <w:rFonts w:ascii="Times New Roman" w:cs="Times New Roman" w:eastAsia="Times New Roman" w:hAnsi="Times New Roman"/>
            <w:color w:val="1155CC"/>
            <w:sz w:val="19"/>
            <w:szCs w:val="19"/>
            <w:u w:val="single"/>
          </w:rPr>
          <w:t xml:space="preserve">github.com/gannah-bioinfo</w:t>
        </w:r>
      </w:hyperlink>
    </w:p>
    <w:p>
      <w:pPr>
        <w:spacing w:after="40"/>
        <w:jc w:val="center"/>
      </w:pPr>
      <w:r>
        <w:rPr>
          <w:rFonts w:ascii="Times New Roman" w:cs="Times New Roman" w:eastAsia="Times New Roman" w:hAnsi="Times New Roman"/>
          <w:i/>
          <w:iCs/>
          <w:color w:val="111111"/>
          <w:sz w:val="19"/>
          <w:szCs w:val="19"/>
        </w:rPr>
        <w:t xml:space="preserve">Datasets: GEO GSE163668 (n = 46) and GSE157789 (n = 30)</w:t>
      </w:r>
    </w:p>
    <w:p>
      <w:pPr>
        <w:spacing w:after="50" w:before="100"/>
      </w:pPr>
      <w:r>
        <w:rPr>
          <w:rFonts w:ascii="Times New Roman" w:cs="Times New Roman" w:eastAsia="Times New Roman" w:hAnsi="Times New Roman"/>
          <w:b/>
          <w:bCs/>
          <w:caps/>
          <w:color w:val="1F3864"/>
          <w:sz w:val="20"/>
          <w:szCs w:val="20"/>
        </w:rPr>
        <w:t xml:space="preserve">Abstract</w:t>
      </w:r>
    </w:p>
    <w:p>
      <w:pPr>
        <w:spacing w:after="70" w:line="244"/>
        <w:jc w:val="both"/>
      </w:pPr>
      <w:r>
        <w:rPr>
          <w:rFonts w:ascii="Times New Roman" w:cs="Times New Roman" w:eastAsia="Times New Roman" w:hAnsi="Times New Roman"/>
          <w:color w:val="111111"/>
          <w:sz w:val="19"/>
          <w:szCs w:val="19"/>
        </w:rPr>
        <w:t xml:space="preserve">Sepsis is characterized by a dysregulated host immune response, but which cell populations and transcriptional programs drive this dysregulation, and how they relate to severity and etiology, remains incompletely resolved. We analyzed whole-blood single-cell RNA-seq data from two independent cohorts — 46 individuals (28 sepsis/COVID-19 patients, 18 healthy controls; GSE163668) and 30 individuals spanning four clinical stages including COVID- and bacterial-driven ARDS (GSE157789) — using a standard QC → normalization → Harmony integration → clustering → annotation pipeline. Sepsis patients showed a pronounced myeloid-dominant shift: neutrophils expanded from &lt;1% to ~37% of cells (χ² = 14,404, p &lt; 2.2×10⁻¹⁶), with parallel lymphopenia (naive T cells 25%→7%; memory CD4⁺ 18%→8%; CD8⁺ cytotoxic 19%→6.5%). This compositional shift was independently confirmed at the patient level (n = 46, Wilcoxon, FDR &lt; 0.05 for 8/14 populations), addressing pseudoreplication concerns inherent to per-cell testing. Differential expression (195–1,536 genes/cell type) revealed a recurrent interferon-stimulated gene signature (IFITM3, IFI6, IFI44L, XAF1), and pathway enrichment showed monocytes skewing toward antiviral/interferon signaling while neutrophils skewed toward detoxification/oxidative-stress pathways. Neutrophil proportion further scaled with clinical severity (24%→43%, mild/moderate vs. severe; χ² = 4,191, p &lt; 2.2×10⁻¹⁶). Cross-cohort validation in GSE157789 (129,958 cells, 15 populations) showed neutrophil expansion tracking with disease stage (highest in convalescence) and, critically, an etiology-specific transcriptional signature: COVID-ARDS neutrophils upregulated interferon-response genes (IFITM1/3, IFIT1–3, ISG15) while non-COVID (bacterial) ARDS monocytes upregulated classical bacterial/LPS-inflammatory genes (IL1B, CXCL8, PTGS2). Together, these findings identify neutrophil-driven myeloid expansion as a robust, patient-level-validated hallmark of sepsis severity, with a transcriptional character that further distinguishes viral from bacterial etiology.</w:t>
      </w:r>
    </w:p>
    <w:p>
      <w:pPr>
        <w:spacing w:after="50" w:before="100"/>
      </w:pPr>
      <w:r>
        <w:rPr>
          <w:rFonts w:ascii="Times New Roman" w:cs="Times New Roman" w:eastAsia="Times New Roman" w:hAnsi="Times New Roman"/>
          <w:b/>
          <w:bCs/>
          <w:caps/>
          <w:color w:val="1F3864"/>
          <w:sz w:val="20"/>
          <w:szCs w:val="20"/>
        </w:rPr>
        <w:t xml:space="preserve">Methods</w:t>
      </w:r>
    </w:p>
    <w:p>
      <w:pPr>
        <w:spacing w:after="70" w:line="244"/>
        <w:jc w:val="both"/>
      </w:pPr>
      <w:r>
        <w:rPr>
          <w:rFonts w:ascii="Times New Roman" w:cs="Times New Roman" w:eastAsia="Times New Roman" w:hAnsi="Times New Roman"/>
          <w:color w:val="111111"/>
          <w:sz w:val="19"/>
          <w:szCs w:val="19"/>
        </w:rPr>
        <w:t xml:space="preserve">Data were downloaded via </w:t>
      </w:r>
      <w:r>
        <w:rPr>
          <w:rFonts w:ascii="Times New Roman" w:cs="Times New Roman" w:eastAsia="Times New Roman" w:hAnsi="Times New Roman"/>
          <w:b/>
          <w:bCs/>
          <w:color w:val="111111"/>
          <w:sz w:val="19"/>
          <w:szCs w:val="19"/>
        </w:rPr>
        <w:t xml:space="preserve">GEOquery</w:t>
      </w:r>
      <w:r>
        <w:rPr>
          <w:rFonts w:ascii="Times New Roman" w:cs="Times New Roman" w:eastAsia="Times New Roman" w:hAnsi="Times New Roman"/>
          <w:color w:val="111111"/>
          <w:sz w:val="19"/>
          <w:szCs w:val="19"/>
        </w:rPr>
        <w:t xml:space="preserve"> and processed in </w:t>
      </w:r>
      <w:r>
        <w:rPr>
          <w:rFonts w:ascii="Times New Roman" w:cs="Times New Roman" w:eastAsia="Times New Roman" w:hAnsi="Times New Roman"/>
          <w:b/>
          <w:bCs/>
          <w:color w:val="111111"/>
          <w:sz w:val="19"/>
          <w:szCs w:val="19"/>
        </w:rPr>
        <w:t xml:space="preserve">Seurat v5</w:t>
      </w:r>
      <w:r>
        <w:rPr>
          <w:rFonts w:ascii="Times New Roman" w:cs="Times New Roman" w:eastAsia="Times New Roman" w:hAnsi="Times New Roman"/>
          <w:color w:val="111111"/>
          <w:sz w:val="19"/>
          <w:szCs w:val="19"/>
        </w:rPr>
        <w:t xml:space="preserve">. Pooled 10x libraries in GSE163668 were demultiplexed to individual donors using provided freemuxlet cluster assignments. Quality control removed low-quality cells (200–6,000 genes/cell, &lt;10–15% mitochondrial content) and doublets (</w:t>
      </w:r>
      <w:r>
        <w:rPr>
          <w:rFonts w:ascii="Times New Roman" w:cs="Times New Roman" w:eastAsia="Times New Roman" w:hAnsi="Times New Roman"/>
          <w:b/>
          <w:bCs/>
          <w:color w:val="111111"/>
          <w:sz w:val="19"/>
          <w:szCs w:val="19"/>
        </w:rPr>
        <w:t xml:space="preserve">scDblFinder</w:t>
      </w:r>
      <w:r>
        <w:rPr>
          <w:rFonts w:ascii="Times New Roman" w:cs="Times New Roman" w:eastAsia="Times New Roman" w:hAnsi="Times New Roman"/>
          <w:color w:val="111111"/>
          <w:sz w:val="19"/>
          <w:szCs w:val="19"/>
        </w:rPr>
        <w:t xml:space="preserve">, per-sample). Data were log-normalized, the top 2,000 variable genes selected, and PCA (15 PCs) computed. Batch effects across donors were corrected with </w:t>
      </w:r>
      <w:r>
        <w:rPr>
          <w:rFonts w:ascii="Times New Roman" w:cs="Times New Roman" w:eastAsia="Times New Roman" w:hAnsi="Times New Roman"/>
          <w:b/>
          <w:bCs/>
          <w:color w:val="111111"/>
          <w:sz w:val="19"/>
          <w:szCs w:val="19"/>
        </w:rPr>
        <w:t xml:space="preserve">Harmony</w:t>
      </w:r>
      <w:r>
        <w:rPr>
          <w:rFonts w:ascii="Times New Roman" w:cs="Times New Roman" w:eastAsia="Times New Roman" w:hAnsi="Times New Roman"/>
          <w:color w:val="111111"/>
          <w:sz w:val="19"/>
          <w:szCs w:val="19"/>
        </w:rPr>
        <w:t xml:space="preserve">, followed by graph-based clustering and marker-gene-based cell-type annotation (</w:t>
      </w:r>
      <w:r>
        <w:rPr>
          <w:rFonts w:ascii="Times New Roman" w:cs="Times New Roman" w:eastAsia="Times New Roman" w:hAnsi="Times New Roman"/>
          <w:b/>
          <w:bCs/>
          <w:color w:val="111111"/>
          <w:sz w:val="19"/>
          <w:szCs w:val="19"/>
        </w:rPr>
        <w:t xml:space="preserve">FindAllMarkers</w:t>
      </w:r>
      <w:r>
        <w:rPr>
          <w:rFonts w:ascii="Times New Roman" w:cs="Times New Roman" w:eastAsia="Times New Roman" w:hAnsi="Times New Roman"/>
          <w:color w:val="111111"/>
          <w:sz w:val="19"/>
          <w:szCs w:val="19"/>
        </w:rPr>
        <w:t xml:space="preserve">). Composition differences were tested per-cell (Pearson’s χ²) and, for GSE163668, validated at the patient level (per-patient cell-type proportions, Wilcoxon rank-sum test, Benjamini–Hochberg FDR). Differential expression used the Wilcoxon rank-sum test (Seurat::FindMarkers); pathway enrichment used </w:t>
      </w:r>
      <w:r>
        <w:rPr>
          <w:rFonts w:ascii="Times New Roman" w:cs="Times New Roman" w:eastAsia="Times New Roman" w:hAnsi="Times New Roman"/>
          <w:b/>
          <w:bCs/>
          <w:color w:val="111111"/>
          <w:sz w:val="19"/>
          <w:szCs w:val="19"/>
        </w:rPr>
        <w:t xml:space="preserve">clusterProfiler</w:t>
      </w:r>
      <w:r>
        <w:rPr>
          <w:rFonts w:ascii="Times New Roman" w:cs="Times New Roman" w:eastAsia="Times New Roman" w:hAnsi="Times New Roman"/>
          <w:color w:val="111111"/>
          <w:sz w:val="19"/>
          <w:szCs w:val="19"/>
        </w:rPr>
        <w:t xml:space="preserve"> (GO Biological Process, org.Hs.eg.db).</w:t>
      </w:r>
    </w:p>
    <w:p>
      <w:pPr>
        <w:spacing w:after="50" w:before="100"/>
      </w:pPr>
      <w:r>
        <w:rPr>
          <w:rFonts w:ascii="Times New Roman" w:cs="Times New Roman" w:eastAsia="Times New Roman" w:hAnsi="Times New Roman"/>
          <w:b/>
          <w:bCs/>
          <w:caps/>
          <w:color w:val="1F3864"/>
          <w:sz w:val="20"/>
          <w:szCs w:val="20"/>
        </w:rP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rPr>
          <w:tblHeader/>
        </w:trPr>
        <w:tc>
          <w:tcPr>
            <w:tcW w:type="dxa" w:w="6300"/>
            <w:shd w:fill="1F3864"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7"/>
                <w:szCs w:val="17"/>
              </w:rPr>
              <w:t xml:space="preserve">Finding</w:t>
            </w:r>
          </w:p>
        </w:tc>
        <w:tc>
          <w:tcPr>
            <w:tcW w:type="dxa" w:w="3060"/>
            <w:shd w:fill="1F3864" w:val="clear"/>
            <w:tcMar>
              <w:top w:type="dxa" w:w="40"/>
              <w:left w:type="dxa" w:w="80"/>
              <w:bottom w:type="dxa" w:w="40"/>
              <w:right w:type="dxa" w:w="80"/>
            </w:tcMar>
          </w:tcPr>
          <w:p>
            <w:pPr>
              <w:jc w:val="center"/>
            </w:pPr>
            <w:r>
              <w:rPr>
                <w:rFonts w:ascii="Times New Roman" w:cs="Times New Roman" w:eastAsia="Times New Roman" w:hAnsi="Times New Roman"/>
                <w:b/>
                <w:bCs/>
                <w:color w:val="FFFFFF"/>
                <w:sz w:val="17"/>
                <w:szCs w:val="17"/>
              </w:rPr>
              <w:t xml:space="preserve">Statistic</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Immune composition shift, patient vs. control (per-cell)</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χ²=14,404, df=13, p&lt;2.2×10⁻¹⁶</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Neutrophil expansion confirmed at patient level (n=46)</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Wilcoxon FDR=2.0×10⁻⁷</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Naive T-cell depletion confirmed at patient level (n=46)</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Wilcoxon FDR=2.3×10⁻⁸</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Neutrophils by severity (mild/moderate vs. severe, per-cell)</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χ²=4,191, df=13, p&lt;2.2×10⁻¹⁶</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Composition across 4 clinical stages (GSE157789)</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χ²=11,844, df=42, p&lt;2.2×10⁻¹⁶</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DE genes per cell type (patient vs. control)</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195–1,536 genes</w:t>
            </w:r>
          </w:p>
        </w:tc>
      </w:tr>
      <w:tr>
        <w:tc>
          <w:tcPr>
            <w:tcW w:type="dxa" w:w="6300"/>
            <w:tcMar>
              <w:top w:type="dxa" w:w="40"/>
              <w:left w:type="dxa" w:w="80"/>
              <w:bottom w:type="dxa" w:w="40"/>
              <w:right w:type="dxa" w:w="80"/>
            </w:tcMar>
          </w:tcPr>
          <w:p>
            <w:pPr>
              <w:jc w:val="left"/>
            </w:pPr>
            <w:r>
              <w:rPr>
                <w:rFonts w:ascii="Times New Roman" w:cs="Times New Roman" w:eastAsia="Times New Roman" w:hAnsi="Times New Roman"/>
                <w:b w:val="false"/>
                <w:bCs w:val="false"/>
                <w:color w:val="111111"/>
                <w:sz w:val="17"/>
                <w:szCs w:val="17"/>
              </w:rPr>
              <w:t xml:space="preserve">COVID- vs. bacterial-ARDS DE (neutrophils / monocytes)</w:t>
            </w:r>
          </w:p>
        </w:tc>
        <w:tc>
          <w:tcPr>
            <w:tcW w:type="dxa" w:w="3060"/>
            <w:tcMar>
              <w:top w:type="dxa" w:w="40"/>
              <w:left w:type="dxa" w:w="80"/>
              <w:bottom w:type="dxa" w:w="40"/>
              <w:right w:type="dxa" w:w="80"/>
            </w:tcMar>
          </w:tcPr>
          <w:p>
            <w:pPr>
              <w:jc w:val="center"/>
            </w:pPr>
            <w:r>
              <w:rPr>
                <w:rFonts w:ascii="Times New Roman" w:cs="Times New Roman" w:eastAsia="Times New Roman" w:hAnsi="Times New Roman"/>
                <w:b w:val="false"/>
                <w:bCs w:val="false"/>
                <w:color w:val="111111"/>
                <w:sz w:val="17"/>
                <w:szCs w:val="17"/>
              </w:rPr>
              <w:t xml:space="preserve">434 / 1,293 genes</w:t>
            </w:r>
          </w:p>
        </w:tc>
      </w:tr>
    </w:tbl>
    <w:p>
      <w:pPr>
        <w:spacing w:after="50" w:before="100"/>
      </w:pPr>
      <w:r>
        <w:rPr>
          <w:rFonts w:ascii="Times New Roman" w:cs="Times New Roman" w:eastAsia="Times New Roman" w:hAnsi="Times New Roman"/>
          <w:b/>
          <w:bCs/>
          <w:caps/>
          <w:color w:val="1F3864"/>
          <w:sz w:val="20"/>
          <w:szCs w:val="20"/>
        </w:rPr>
        <w:t xml:space="preserve">Discussion &amp; Conclusion</w:t>
      </w:r>
    </w:p>
    <w:p>
      <w:pPr>
        <w:spacing w:after="70" w:line="244"/>
        <w:jc w:val="both"/>
      </w:pPr>
      <w:r>
        <w:rPr>
          <w:rFonts w:ascii="Times New Roman" w:cs="Times New Roman" w:eastAsia="Times New Roman" w:hAnsi="Times New Roman"/>
          <w:color w:val="111111"/>
          <w:sz w:val="19"/>
          <w:szCs w:val="19"/>
        </w:rPr>
        <w:t xml:space="preserve">Sepsis reshapes circulating immunity toward a myeloid-dominant, neutrophil-driven state accompanied by lymphopenia — a shift that survives correction for pseudoreplication at the patient level and scales with clinical severity. Monocytes and neutrophils adopt distinct functional programs (antiviral/interferon vs. detoxification/metabolic stress), and direct comparison of COVID- and bacterial-driven ARDS shows this myeloid response retains pathogen-class-specific character (interferon-driven in viral sepsis, LPS/IL-1-driven in bacterial sepsis) even as clinical severity converges. These results nominate neutrophil expansion and its transcriptional signature as candidate, mechanistically interpretable correlates of sepsis severity and etiology, warranting validation in larger, prospectively designed cohorts.</w:t>
      </w:r>
    </w:p>
    <w:p>
      <w:pPr>
        <w:spacing w:after="50" w:before="100"/>
      </w:pPr>
      <w:r>
        <w:rPr>
          <w:rFonts w:ascii="Times New Roman" w:cs="Times New Roman" w:eastAsia="Times New Roman" w:hAnsi="Times New Roman"/>
          <w:b/>
          <w:bCs/>
          <w:caps/>
          <w:color w:val="1F3864"/>
          <w:sz w:val="20"/>
          <w:szCs w:val="20"/>
        </w:rPr>
        <w:t xml:space="preserve">Data &amp; Code Availability</w:t>
      </w:r>
    </w:p>
    <w:p>
      <w:pPr>
        <w:spacing w:after="70" w:line="244"/>
        <w:jc w:val="both"/>
      </w:pPr>
      <w:r>
        <w:rPr>
          <w:rFonts w:ascii="Times New Roman" w:cs="Times New Roman" w:eastAsia="Times New Roman" w:hAnsi="Times New Roman"/>
          <w:color w:val="111111"/>
          <w:sz w:val="19"/>
          <w:szCs w:val="19"/>
        </w:rPr>
        <w:t xml:space="preserve">Raw data: NCBI GEO accessions </w:t>
      </w:r>
      <w:r>
        <w:rPr>
          <w:rFonts w:ascii="Times New Roman" w:cs="Times New Roman" w:eastAsia="Times New Roman" w:hAnsi="Times New Roman"/>
          <w:b/>
          <w:bCs/>
          <w:color w:val="111111"/>
          <w:sz w:val="19"/>
          <w:szCs w:val="19"/>
        </w:rPr>
        <w:t xml:space="preserve">GSE163668</w:t>
      </w:r>
      <w:r>
        <w:rPr>
          <w:rFonts w:ascii="Times New Roman" w:cs="Times New Roman" w:eastAsia="Times New Roman" w:hAnsi="Times New Roman"/>
          <w:color w:val="111111"/>
          <w:sz w:val="19"/>
          <w:szCs w:val="19"/>
        </w:rPr>
        <w:t xml:space="preserve"> and </w:t>
      </w:r>
      <w:r>
        <w:rPr>
          <w:rFonts w:ascii="Times New Roman" w:cs="Times New Roman" w:eastAsia="Times New Roman" w:hAnsi="Times New Roman"/>
          <w:b/>
          <w:bCs/>
          <w:color w:val="111111"/>
          <w:sz w:val="19"/>
          <w:szCs w:val="19"/>
        </w:rPr>
        <w:t xml:space="preserve">GSE157789</w:t>
      </w:r>
      <w:r>
        <w:rPr>
          <w:rFonts w:ascii="Times New Roman" w:cs="Times New Roman" w:eastAsia="Times New Roman" w:hAnsi="Times New Roman"/>
          <w:color w:val="111111"/>
          <w:sz w:val="19"/>
          <w:szCs w:val="19"/>
        </w:rPr>
        <w:t xml:space="preserve">. Analysis code and pipeline: </w:t>
      </w:r>
      <w:hyperlink w:history="1" r:id="rIdajmy8ffkiicpacftpthk3">
        <w:r>
          <w:rPr>
            <w:rFonts w:ascii="Times New Roman" w:cs="Times New Roman" w:eastAsia="Times New Roman" w:hAnsi="Times New Roman"/>
            <w:color w:val="1155CC"/>
            <w:sz w:val="19"/>
            <w:szCs w:val="19"/>
            <w:u w:val="single"/>
          </w:rPr>
          <w:t xml:space="preserve">github.com/gannah-bioinfo</w:t>
        </w:r>
      </w:hyperlink>
      <w:r>
        <w:rPr>
          <w:rFonts w:ascii="Times New Roman" w:cs="Times New Roman" w:eastAsia="Times New Roman" w:hAnsi="Times New Roman"/>
          <w:color w:val="111111"/>
          <w:sz w:val="19"/>
          <w:szCs w:val="19"/>
        </w:rPr>
        <w:t xml:space="preserve">.</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4p3mvhl9px3wbwimacdq" Type="http://schemas.openxmlformats.org/officeDocument/2006/relationships/hyperlink" Target="https://github.com/gannah-bioinfo" TargetMode="External"/><Relationship Id="rIdajmy8ffkiicpacftpthk3" Type="http://schemas.openxmlformats.org/officeDocument/2006/relationships/hyperlink" Target="https://github.com/gannah-bioinf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2026-09-27T09:19:48.181Z</dcterms:created>
  <dcterms:modified xsi:type="dcterms:W3CDTF">2026-09-27T09:19:48.182Z</dcterms:modified>
</cp:coreProperties>
</file>

<file path=docProps/custom.xml><?xml version="1.0" encoding="utf-8"?>
<Properties xmlns="http://schemas.openxmlformats.org/officeDocument/2006/custom-properties" xmlns:vt="http://schemas.openxmlformats.org/officeDocument/2006/docPropsVTypes"/>
</file>