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Deciphering Immune Dysregulation in Sepsis Through Single-Cell Transcriptomics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A single-cell RNA-seq analysis of whole-blood immune populations across two independent cohorts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Gannah Sayed Saleh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Code &amp; analysis pipeline: </w:t>
      </w:r>
      <w:hyperlink w:history="1" r:id="rId2474h_my1gaxou4lmur9z">
        <w:r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</w:rPr>
          <w:t xml:space="preserve">github.com/gannah-bioinfo/-sepsis-immune-dysregulation-scrnaseq</w:t>
        </w:r>
      </w:hyperlink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i/>
          <w:iCs/>
          <w:color w:val="111111"/>
          <w:sz w:val="19"/>
          <w:szCs w:val="19"/>
        </w:rPr>
        <w:t xml:space="preserve">Datasets: GEO GSE163668 (n = 46) and GSE157789 (n = 30)</w:t>
      </w:r>
    </w:p>
    <w:p>
      <w:pPr>
        <w:keepNext/>
        <w:spacing w:after="50" w:before="10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0"/>
          <w:szCs w:val="20"/>
        </w:rPr>
        <w:t xml:space="preserve">Abstract</w:t>
      </w:r>
    </w:p>
    <w:p>
      <w:pPr>
        <w:spacing w:after="70" w:line="244"/>
        <w:jc w:val="both"/>
      </w:pP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Sepsis is characterized by a dysregulated host immune response, but which cell populations and transcriptional programs drive it, and how they relate to severity and etiology, remains incompletely resolved. We analyzed whole-blood single-cell RNA-seq data from two independent cohorts — 46 individuals (28 sepsis/COVID-19 patients, 18 healthy controls; GSE163668) and 30 individuals spanning four clinical groups including COVID- and bacterial-driven ARDS (GSE157789) — using a QC → normalization → Harmony integration → clustering → annotation pipeline. Patients showed a pronounced myeloid-dominant shift: neutrophils expanded from &lt;1% to ~37% of cells (χ² = 14,404, p &lt; 2.2×10⁻¹⁶) with parallel lymphopenia (naive T 25%→7%; memory CD4⁺ 18%→8%; CD8⁺ cytotoxic 19%→6.5%). This shift was confirmed at the patient level (n = 46, Wilcoxon, FDR &lt; 0.05 for 9/14 populations), addressing the pseudoreplication inherent to per-cell testing. Differential expression revealed a recurrent interferon-stimulated gene signature (IFITM3, IFI6, IFI44L, XAF1); pathway analysis showed monocytes skewing toward antiviral/interferon signaling and neutrophils toward detoxification/oxidative-stress pathways. Neutrophil proportion rose with clinical severity (24%→43%, mild/moderate vs. severe). In GSE157789 (129,958 cells), neutrophil expansion tracked with disease stage, and a direct COVID- vs. bacterial-ARDS comparison revealed etiology-specific programs: interferon-response genes in COVID neutrophils (IFITM1/3, IFIT1–3, ISG15) versus classical LPS/IL-1 inflammatory genes in bacterial-ARDS monocytes (IL1B, CXCL8, PTGS2). These findings identify neutrophil-driven myeloid expansion as a robust hallmark of sepsis severity whose transcriptional character distinguishes viral from bacterial etiology.</w:t>
      </w:r>
    </w:p>
    <w:p>
      <w:pPr>
        <w:keepNext/>
        <w:spacing w:after="50" w:before="10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0"/>
          <w:szCs w:val="20"/>
        </w:rPr>
        <w:t xml:space="preserve">Methods</w:t>
      </w:r>
    </w:p>
    <w:p>
      <w:pPr>
        <w:spacing w:after="70" w:line="244"/>
        <w:jc w:val="both"/>
      </w:pP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Data were retrieved with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GEOquery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 and analyzed in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Seurat v5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. Pooled 10x libraries in GSE163668 were demultiplexed to donors using the provided freemuxlet assignments. Cells were filtered (200–6,000 genes, &lt;10–15% mitochondrial reads) and doublets removed (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scDblFinder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, per sample). Data were log-normalized, the top 2,000 variable genes selected, PCA computed (15 PCs), donor batch effects corrected with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Harmony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, and cells clustered and annotated by marker genes (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FindAllMarkers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). Composition was tested per cell (Pearson’s χ²) and, for GSE163668, at the patient level (per-patient proportions, Wilcoxon, Benjamini–Hochberg FDR). Differential expression used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FindMarkers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 (Wilcoxon); pathway enrichment used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clusterProfiler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 (GO Biological Process).</w:t>
      </w:r>
    </w:p>
    <w:p>
      <w:pPr>
        <w:keepNext/>
        <w:spacing w:after="50" w:before="10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0"/>
          <w:szCs w:val="20"/>
        </w:rPr>
        <w:t xml:space="preserve">Results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95625" cy="1885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95625" cy="1885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 w:line="230"/>
        <w:jc w:val="both"/>
      </w:pPr>
      <w:r>
        <w:rPr>
          <w:rFonts w:ascii="Times New Roman" w:cs="Times New Roman" w:eastAsia="Times New Roman" w:hAnsi="Times New Roman"/>
          <w:b/>
          <w:bCs/>
          <w:color w:val="222222"/>
          <w:sz w:val="17"/>
          <w:szCs w:val="17"/>
        </w:rPr>
        <w:t xml:space="preserve">Figure 1. </w:t>
      </w:r>
      <w:r>
        <w:rPr>
          <w:rFonts w:ascii="Times New Roman" w:cs="Times New Roman" w:eastAsia="Times New Roman" w:hAnsi="Times New Roman"/>
          <w:b/>
          <w:bCs/>
          <w:color w:val="222222"/>
          <w:sz w:val="17"/>
          <w:szCs w:val="17"/>
        </w:rPr>
        <w:t xml:space="preserve">(A) </w:t>
      </w:r>
      <w:r>
        <w:rPr>
          <w:rFonts w:ascii="Times New Roman" w:cs="Times New Roman" w:eastAsia="Times New Roman" w:hAnsi="Times New Roman"/>
          <w:color w:val="222222"/>
          <w:sz w:val="17"/>
          <w:szCs w:val="17"/>
        </w:rPr>
        <w:t xml:space="preserve">Immune-cell composition in patients vs. healthy controls (GSE163668): neutrophils expand while naive/memory T, CD8⁺ and NK populations contract. </w:t>
      </w:r>
      <w:r>
        <w:rPr>
          <w:rFonts w:ascii="Times New Roman" w:cs="Times New Roman" w:eastAsia="Times New Roman" w:hAnsi="Times New Roman"/>
          <w:b/>
          <w:bCs/>
          <w:color w:val="222222"/>
          <w:sz w:val="17"/>
          <w:szCs w:val="17"/>
        </w:rPr>
        <w:t xml:space="preserve">(B) </w:t>
      </w:r>
      <w:r>
        <w:rPr>
          <w:rFonts w:ascii="Times New Roman" w:cs="Times New Roman" w:eastAsia="Times New Roman" w:hAnsi="Times New Roman"/>
          <w:color w:val="222222"/>
          <w:sz w:val="17"/>
          <w:szCs w:val="17"/>
        </w:rPr>
        <w:t xml:space="preserve">Composition by clinical severity (mild/moderate vs. severe): neutrophil proportion rises from ~24% to ~43%.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 w:line="230"/>
        <w:jc w:val="both"/>
      </w:pPr>
      <w:r>
        <w:rPr>
          <w:rFonts w:ascii="Times New Roman" w:cs="Times New Roman" w:eastAsia="Times New Roman" w:hAnsi="Times New Roman"/>
          <w:b/>
          <w:bCs/>
          <w:color w:val="222222"/>
          <w:sz w:val="17"/>
          <w:szCs w:val="17"/>
        </w:rPr>
        <w:t xml:space="preserve">Figure 2. </w:t>
      </w:r>
      <w:r>
        <w:rPr>
          <w:rFonts w:ascii="Times New Roman" w:cs="Times New Roman" w:eastAsia="Times New Roman" w:hAnsi="Times New Roman"/>
          <w:color w:val="222222"/>
          <w:sz w:val="17"/>
          <w:szCs w:val="17"/>
        </w:rPr>
        <w:t xml:space="preserve">Etiology-specific programs in GSE157789 (Severe COVID-ARDS vs. Severe non-COVID/bacterial ARDS). </w:t>
      </w:r>
      <w:r>
        <w:rPr>
          <w:rFonts w:ascii="Times New Roman" w:cs="Times New Roman" w:eastAsia="Times New Roman" w:hAnsi="Times New Roman"/>
          <w:b/>
          <w:bCs/>
          <w:color w:val="222222"/>
          <w:sz w:val="17"/>
          <w:szCs w:val="17"/>
        </w:rPr>
        <w:t xml:space="preserve">(A) </w:t>
      </w:r>
      <w:r>
        <w:rPr>
          <w:rFonts w:ascii="Times New Roman" w:cs="Times New Roman" w:eastAsia="Times New Roman" w:hAnsi="Times New Roman"/>
          <w:color w:val="222222"/>
          <w:sz w:val="17"/>
          <w:szCs w:val="17"/>
        </w:rPr>
        <w:t xml:space="preserve">GO enrichment of genes higher in COVID-ARDS neutrophils: response to virus and type I interferon. </w:t>
      </w:r>
      <w:r>
        <w:rPr>
          <w:rFonts w:ascii="Times New Roman" w:cs="Times New Roman" w:eastAsia="Times New Roman" w:hAnsi="Times New Roman"/>
          <w:b/>
          <w:bCs/>
          <w:color w:val="222222"/>
          <w:sz w:val="17"/>
          <w:szCs w:val="17"/>
        </w:rPr>
        <w:t xml:space="preserve">(B) </w:t>
      </w:r>
      <w:r>
        <w:rPr>
          <w:rFonts w:ascii="Times New Roman" w:cs="Times New Roman" w:eastAsia="Times New Roman" w:hAnsi="Times New Roman"/>
          <w:color w:val="222222"/>
          <w:sz w:val="17"/>
          <w:szCs w:val="17"/>
        </w:rPr>
        <w:t xml:space="preserve">GO enrichment of genes higher in bacterial-ARDS monocytes: response to bacterial molecules/LPS and IL-1/IL-6 signaling.</w:t>
      </w:r>
    </w:p>
    <w:p>
      <w:pPr>
        <w:spacing w:after="100" w:before="40" w:line="230"/>
        <w:jc w:val="both"/>
      </w:pPr>
      <w:r>
        <w:rPr>
          <w:rFonts w:ascii="Times New Roman" w:cs="Times New Roman" w:eastAsia="Times New Roman" w:hAnsi="Times New Roman"/>
          <w:b/>
          <w:bCs/>
          <w:color w:val="222222"/>
          <w:sz w:val="17"/>
          <w:szCs w:val="17"/>
        </w:rPr>
        <w:t xml:space="preserve">Table 1. </w:t>
      </w:r>
      <w:r>
        <w:rPr>
          <w:rFonts w:ascii="Times New Roman" w:cs="Times New Roman" w:eastAsia="Times New Roman" w:hAnsi="Times New Roman"/>
          <w:color w:val="222222"/>
          <w:sz w:val="17"/>
          <w:szCs w:val="17"/>
        </w:rPr>
        <w:t xml:space="preserve">Key statistics.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rPr>
          <w:tblHeader/>
        </w:trPr>
        <w:tc>
          <w:tcPr>
            <w:tcW w:type="dxa" w:w="6500"/>
            <w:shd w:fill="1F3864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3580"/>
            <w:shd w:fill="1F3864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Statistic</w:t>
            </w:r>
          </w:p>
        </w:tc>
      </w:tr>
      <w:tr>
        <w:tc>
          <w:tcPr>
            <w:tcW w:type="dxa" w:w="6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Composition shift, patient vs. control (per-cell, GSE163668)</w:t>
            </w:r>
          </w:p>
        </w:tc>
        <w:tc>
          <w:tcPr>
            <w:tcW w:type="dxa" w:w="358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χ²=14,404, df=13, p&lt;2.2×10⁻¹⁶</w:t>
            </w:r>
          </w:p>
        </w:tc>
      </w:tr>
      <w:tr>
        <w:tc>
          <w:tcPr>
            <w:tcW w:type="dxa" w:w="6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Neutrophils, patient level (n=46): mean proportion 1.1% → 30.3%</w:t>
            </w:r>
          </w:p>
        </w:tc>
        <w:tc>
          <w:tcPr>
            <w:tcW w:type="dxa" w:w="358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Wilcoxon FDR=2.0×10⁻⁷</w:t>
            </w:r>
          </w:p>
        </w:tc>
      </w:tr>
      <w:tr>
        <w:tc>
          <w:tcPr>
            <w:tcW w:type="dxa" w:w="6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Naive T cells, patient level (n=46): mean proportion 25.5% → 7.0%</w:t>
            </w:r>
          </w:p>
        </w:tc>
        <w:tc>
          <w:tcPr>
            <w:tcW w:type="dxa" w:w="358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Wilcoxon FDR=2.3×10⁻⁸</w:t>
            </w:r>
          </w:p>
        </w:tc>
      </w:tr>
      <w:tr>
        <w:tc>
          <w:tcPr>
            <w:tcW w:type="dxa" w:w="6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Neutrophils by severity (mild/moderate vs. severe, per-cell)</w:t>
            </w:r>
          </w:p>
        </w:tc>
        <w:tc>
          <w:tcPr>
            <w:tcW w:type="dxa" w:w="358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χ²=4,191, df=13, p&lt;2.2×10⁻¹⁶</w:t>
            </w:r>
          </w:p>
        </w:tc>
      </w:tr>
      <w:tr>
        <w:tc>
          <w:tcPr>
            <w:tcW w:type="dxa" w:w="6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Composition across 4 clinical groups (GSE157789)</w:t>
            </w:r>
          </w:p>
        </w:tc>
        <w:tc>
          <w:tcPr>
            <w:tcW w:type="dxa" w:w="358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χ²=11,844, df=42, p&lt;2.2×10⁻¹⁶</w:t>
            </w:r>
          </w:p>
        </w:tc>
      </w:tr>
      <w:tr>
        <w:tc>
          <w:tcPr>
            <w:tcW w:type="dxa" w:w="6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COVID- vs. bacterial-ARDS DE genes (neutrophils / monocytes)</w:t>
            </w:r>
          </w:p>
        </w:tc>
        <w:tc>
          <w:tcPr>
            <w:tcW w:type="dxa" w:w="358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7"/>
                <w:szCs w:val="17"/>
              </w:rPr>
              <w:t xml:space="preserve">434 / 1,293</w:t>
            </w:r>
          </w:p>
        </w:tc>
      </w:tr>
    </w:tbl>
    <w:p>
      <w:pPr>
        <w:keepNext/>
        <w:spacing w:after="50" w:before="10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0"/>
          <w:szCs w:val="20"/>
        </w:rPr>
        <w:t xml:space="preserve">Discussion &amp; Conclusion</w:t>
      </w:r>
    </w:p>
    <w:p>
      <w:pPr>
        <w:spacing w:after="70" w:line="244"/>
        <w:jc w:val="both"/>
      </w:pP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Sepsis reshapes circulating immunity toward a myeloid-dominant, neutrophil-driven state with lymphopenia; the compositional shift persists when tested at the patient level rather than per cell. Monocytes and neutrophils adopt distinct functional programs, and direct comparison of COVID- and bacterial-driven ARDS shows this myeloid response retains pathogen-class-specific character (interferon-driven in viral, LPS/IL-1-driven in bacterial sepsis) even as clinical severity converges. Limitations: the severity association was assessed per cell and warrants patient-level confirmation (n = 32), and the non-COVID ARDS group is small (n = 3), so etiology-specific findings are preliminary. Neutrophil expansion and its transcriptional signature are candidate correlates of sepsis severity and etiology that merit validation in larger cohorts.</w:t>
      </w:r>
    </w:p>
    <w:p>
      <w:pPr>
        <w:keepNext/>
        <w:spacing w:after="50" w:before="10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0"/>
          <w:szCs w:val="20"/>
        </w:rPr>
        <w:t xml:space="preserve">Data &amp; Code Availability</w:t>
      </w:r>
    </w:p>
    <w:p>
      <w:pPr>
        <w:spacing w:after="70" w:line="244"/>
        <w:jc w:val="both"/>
      </w:pP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Raw data: NCBI GEO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GSE163668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GSE157789</w:t>
      </w:r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. Code and pipeline: </w:t>
      </w:r>
      <w:hyperlink w:history="1" r:id="rId0a-e5g_li_0ybzttmkam2">
        <w:r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</w:rPr>
          <w:t xml:space="preserve">github.com/gannah-bioinfo/-sepsis-immune-dysregulation-scrnaseq</w:t>
        </w:r>
      </w:hyperlink>
      <w:r>
        <w:rPr>
          <w:rFonts w:ascii="Times New Roman" w:cs="Times New Roman" w:eastAsia="Times New Roman" w:hAnsi="Times New Roman"/>
          <w:color w:val="111111"/>
          <w:sz w:val="19"/>
          <w:szCs w:val="19"/>
        </w:rPr>
        <w:t xml:space="preserve">.</w:t>
      </w:r>
    </w:p>
    <w:sectPr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474h_my1gaxou4lmur9z" Type="http://schemas.openxmlformats.org/officeDocument/2006/relationships/hyperlink" Target="https://github.com/gannah-bioinfo/-sepsis-immune-dysregulation-scrnaseq" TargetMode="External"/><Relationship Id="rId0a-e5g_li_0ybzttmkam2" Type="http://schemas.openxmlformats.org/officeDocument/2006/relationships/hyperlink" Target="https://github.com/gannah-bioinfo/-sepsis-immune-dysregulation-scrnaseq" TargetMode="External"/><Relationship Id="rId8" Type="http://schemas.openxmlformats.org/officeDocument/2006/relationships/image" Target="media/069d59b5a1d269558947fdc51aff3d8b8ba4c0a6.png"/><Relationship Id="rId9" Type="http://schemas.openxmlformats.org/officeDocument/2006/relationships/image" Target="media/4bacc6f6a8696427eb9d1bb34a4226b75f98da60.png"/><Relationship Id="rId10" Type="http://schemas.openxmlformats.org/officeDocument/2006/relationships/image" Target="media/2878402618c7de22c5a39df06013fa067a61d4ee.png"/><Relationship Id="rId11" Type="http://schemas.openxmlformats.org/officeDocument/2006/relationships/image" Target="media/ffeaddb1ec6959bf5a1a58a4c4e1a534d0590e0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2026-09-28T05:06:09.739Z</dcterms:created>
  <dcterms:modified xsi:type="dcterms:W3CDTF">2026-09-28T05:06:09.740Z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