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0148" w14:textId="77777777" w:rsidR="00D43CAB" w:rsidRDefault="00000000">
      <w:pPr>
        <w:pStyle w:val="Heading2"/>
      </w:pPr>
      <w:bookmarkStart w:id="0" w:name="вариацын-задаргаа"/>
      <w:r>
        <w:t>5.2 Вариацын задаргаа</w:t>
      </w:r>
    </w:p>
    <w:p w14:paraId="56AC1766" w14:textId="23AC5994" w:rsidR="00D43CAB" w:rsidRDefault="00000000">
      <w:pPr>
        <w:pStyle w:val="FirstParagraph"/>
      </w:pPr>
      <w:r>
        <w:t xml:space="preserve">Импульсийн хариу үйлдэл ба вариацын задаргаа нэг </w:t>
      </w:r>
      <w:r w:rsidR="001F33A3">
        <w:rPr>
          <w:lang w:val="mn-MN"/>
        </w:rPr>
        <w:t>юмыг</w:t>
      </w:r>
      <w:r>
        <w:t xml:space="preserve"> хоёр талаас нь </w:t>
      </w:r>
      <w:r w:rsidR="001F33A3">
        <w:t>авч үздэг</w:t>
      </w:r>
      <w:r>
        <w:t xml:space="preserve"> тул тэдгээрийг хамтад нь уншихад бүрэн дүр зураг гарна. Эхнийх нь нэг стандарт хазайлтын шок ямар нөлөө үзүүлэхийг, хоёр дахь нь ажиглагдсан хэлбэлзлийн хэдэн хувийг тайлбарлахыг хэмжинэ. Тиймээс шок нь хүчтэй нөлөөтэй боловч ховор тохиолддог бол вариацад бага хувь эзэлж болно. Энэхүү ялгаа доорх үр дүнг тайлбарлахад чухал ач холбогдолтой тул түүнийг</w:t>
      </w:r>
      <w:r w:rsidR="009E46F1">
        <w:t xml:space="preserve"> энэ</w:t>
      </w:r>
      <w:r>
        <w:t xml:space="preserve"> дэд хэсгийн төгсгөлд тоон хэлбэрээр дахин авч үзнэ.</w:t>
      </w:r>
    </w:p>
    <w:p w14:paraId="230A81A4" w14:textId="06D0A473" w:rsidR="00D43CAB" w:rsidRDefault="00D97B7E">
      <w:pPr>
        <w:pStyle w:val="BodyText"/>
      </w:pPr>
      <w:r>
        <w:t>Бид</w:t>
      </w:r>
      <w:r w:rsidR="00000000">
        <w:t xml:space="preserve"> хойдчилсон дунджаар тооцсон </w:t>
      </w:r>
      <w:r>
        <w:t>нөхцөлт</w:t>
      </w:r>
      <w:r w:rsidR="00000000">
        <w:t xml:space="preserve"> бус вариацын задаргааг арван хоёр хувьсагчийн хувьд авч үзэх бөгөөд шокуудыг түүхэн задаргаатай нийцүүлэн таван бүлэгт нэгтгэв. Хувьсагчийн бүрэлдэхүүн</w:t>
      </w:r>
      <w:r>
        <w:t>ийг</w:t>
      </w:r>
      <w:r w:rsidR="00000000">
        <w:t xml:space="preserve"> 5.1 хэсгийн импульсийн хариу үйлдлийн зурагтай ижил</w:t>
      </w:r>
      <w:r>
        <w:t xml:space="preserve"> байхаар сонгосон</w:t>
      </w:r>
      <w:r w:rsidR="00000000">
        <w:t xml:space="preserve"> тул хоёр дэд хэсгийг зэрэгцүүлэн харах боломжтой юм. Үр дүнг Хүснэгт 7-т үзүүлэв. Хүснэгтээс хамгийн түрүүнд анзаарагдах зүйл нь мөрүүдийн ялгаа юм: ханшийн мөрөнд гадаад бүлэг давамгайлж байхад бусад арван нэгэн мөрөнд дотоодын бүлгүүд давамгайлж байна.</w:t>
      </w:r>
    </w:p>
    <w:p w14:paraId="651C4565" w14:textId="77777777" w:rsidR="00D43CAB" w:rsidRDefault="00000000">
      <w:pPr>
        <w:pStyle w:val="Heading3"/>
      </w:pPr>
      <w:bookmarkStart w:id="1" w:name="ханшийн-задаргаа"/>
      <w:r>
        <w:t>Ханшийн задаргаа</w:t>
      </w:r>
    </w:p>
    <w:p w14:paraId="089F2536" w14:textId="3BE71540" w:rsidR="00D43CAB" w:rsidRDefault="00000000">
      <w:pPr>
        <w:pStyle w:val="FirstParagraph"/>
      </w:pPr>
      <w:r>
        <w:t xml:space="preserve">Хамгийн тод үр дүн ханшид илэрч байна. Гадаад шок ханшийн вариацын 90.4 хувийг тайлбарлах бөгөөд үүнээс улсын эрсдэлийн шагнал 71.2, дэлхийн хүү 19.3 хувийг эзэлнэ. Дотоод бүх шок нийлээд 9.6 хувь л үлдэнэ. Иймд загварын хүрээнд төгрөгийн ханшийг гадаад санхүүжилтийн нөхцөл бараг бүрэн </w:t>
      </w:r>
      <w:r w:rsidR="002045AA">
        <w:t>тодорхойлж</w:t>
      </w:r>
      <w:r>
        <w:t xml:space="preserve"> байна гэж дүгнэж болно.</w:t>
      </w:r>
    </w:p>
    <w:p w14:paraId="5C634336" w14:textId="37D030EC" w:rsidR="00D43CAB" w:rsidRDefault="00000000">
      <w:pPr>
        <w:pStyle w:val="BodyText"/>
      </w:pPr>
      <w:r>
        <w:t>Энэ үр дүн олон улсын судалгаатай нийцэж байна. García, González (2013) нар Австрали, Шинэ Зеланд, Чили, Колумб, Перугийн жижиг, нээлттэй эдийн засгийн загварыг Bayesian аргаар үнэлж, эрсдэлийн шагналын шок ханшийн вариацын ихэнхийг тайлбарладаг гэж тогтоо</w:t>
      </w:r>
      <w:r w:rsidR="00AF59CF">
        <w:t>жээ</w:t>
      </w:r>
      <w:r>
        <w:t>.</w:t>
      </w:r>
      <w:r w:rsidR="00AF59CF">
        <w:t xml:space="preserve"> Мөн </w:t>
      </w:r>
      <w:r>
        <w:t>Doojav, Kalirajan (2020) нар Австралийн хувьд ханшийн хэлбэлзэл дотоодын макро суурь үзүүлэлттэй сул холбоотой, харин улсын эрсдэлийн шагналын шок түүний 65-70 хувийг, Америкийн Нэгдсэн Улсын шок 6-9 хувийг тайлбарладаг гэж дүгнэсэн байдаг. Тэдний 65-70 хувь энэ бүлгийн 71.2 хувьтай бараг давхцаж байгаа нь загварын бүтэц ижил, орон нь өөр байхад ижил үр дүн гарч байгааг харуулна.</w:t>
      </w:r>
    </w:p>
    <w:p w14:paraId="67164A1A" w14:textId="3EDE688A" w:rsidR="00D43CAB" w:rsidRDefault="00000000">
      <w:pPr>
        <w:pStyle w:val="BodyText"/>
      </w:pPr>
      <w:r>
        <w:t xml:space="preserve">Дотоодын судалгаатай харьцуулахад харин ялгаа гарах бөгөөд түүний шалтгаан загварын бүтэцтэй холбоотой юм. Doojav, Batmunkh (2018) нар эрсдэлийн шагналын шокод ханшийн вариацын 27.2 хувийг </w:t>
      </w:r>
      <w:r w:rsidR="00AF59CF">
        <w:t>тайлбарлана гэж тооцсон</w:t>
      </w:r>
      <w:r>
        <w:t xml:space="preserve"> бол Doojav, Gantumur (2023) нар бүрэн бодлогын хүрээний загварт 12.3 хувийг</w:t>
      </w:r>
      <w:r w:rsidR="00A45654">
        <w:t xml:space="preserve"> эзэлнэ гэж тогтоожээ</w:t>
      </w:r>
      <w:r>
        <w:t>. Хоёулангийнх нь загварт түүхий эдийн үнэ, гадаад эрэлт зэрэг худалдааны сувгийн шок багтдаг тул ханшийн вариацыг хэд хэдэн эх үүсвэр хуваан авна. Энэ бүлгийн загварт харин худалдааны блок байхгүй тул уг вариац бүхэлдээ санхүүгийн сувагт төвлөрч байна. Иймд 90.4 хувь гэсэн тоог загварын бүтцийн нөхцөлд уншиж, гадаад санхүүжилтийн нөхцөл ханшийн санхүүгийн сувгийг бүрэн тодорхойлдог гэж ойлгох нь зүйтэй.</w:t>
      </w:r>
    </w:p>
    <w:p w14:paraId="5D25BF54" w14:textId="77777777" w:rsidR="00D43CAB" w:rsidRDefault="00000000">
      <w:pPr>
        <w:pStyle w:val="Heading3"/>
      </w:pPr>
      <w:bookmarkStart w:id="2" w:name="банкны-блокийн-задаргаа"/>
      <w:bookmarkEnd w:id="1"/>
      <w:r>
        <w:t>Банкны блокийн задаргаа</w:t>
      </w:r>
    </w:p>
    <w:p w14:paraId="0C29EB56" w14:textId="1E97300F" w:rsidR="00D43CAB" w:rsidRDefault="00000000">
      <w:pPr>
        <w:pStyle w:val="FirstParagraph"/>
      </w:pPr>
      <w:r>
        <w:t>Банкны хувьсагчид эсрэгээрээ өөр дүр зурагтай байна. Банкны спредийн вариацын 71.1, өөрийн хөрөнгийн 50.2, ашгийн 57.7 хувь нь</w:t>
      </w:r>
      <w:r w:rsidR="00A45654">
        <w:t xml:space="preserve"> тус тус</w:t>
      </w:r>
      <w:r>
        <w:t xml:space="preserve"> банкны блокын шокод но</w:t>
      </w:r>
      <w:r w:rsidR="00A45654">
        <w:t>о</w:t>
      </w:r>
      <w:r>
        <w:t xml:space="preserve">гдоно. Тэдгээрээс аж ахуй эрхлэгчийн зээлийн нэмэгдүүлэлтийн шок дангаараа спредийн 46.2, </w:t>
      </w:r>
      <w:r>
        <w:lastRenderedPageBreak/>
        <w:t xml:space="preserve">өөрийн хөрөнгийн 43.4 хувийг </w:t>
      </w:r>
      <w:r w:rsidR="00A45654">
        <w:t>тус тус тайлбарлах бөгөөд</w:t>
      </w:r>
      <w:r>
        <w:t xml:space="preserve"> банкны үнэ тогтоолтын гол хөдөлгөгч болж байна. Гадаад шок харин өөрийн хөрөнгийн 4.8, спредийн 0.7 хувийг л тайлбарлах бөгөөд банкны үнэ тогтоолт дотоодын хүчин зүйлээр голчлон тодорхойлогддог</w:t>
      </w:r>
      <w:r w:rsidR="00A45654">
        <w:t xml:space="preserve"> гэсэн утгатай</w:t>
      </w:r>
      <w:r>
        <w:t>. Энэ нь 5.1 хэсгийн үр дүнтэй зөрчилдөхгүй. Тэнд улсын эрсдэлийн шагналын шок спредийг арван гурав дахь улиралд өргөсгөж, банкны өөрийн хөрөнгийг арван долоо дахь улиралд хамгийн ихээр бууруулж байсан бөгөөд нөлөө нь тодорхой байв. Гагцхүү уг шок ховор бөгөөд бага хэмжээгээр тохиолддог тул нийт хэлбэлзэлд эзлэх хувь нь бага байна.</w:t>
      </w:r>
    </w:p>
    <w:p w14:paraId="3F35F259" w14:textId="151FF593" w:rsidR="00D43CAB" w:rsidRDefault="000E4723">
      <w:pPr>
        <w:pStyle w:val="BodyText"/>
      </w:pPr>
      <w:r>
        <w:t>Харин г</w:t>
      </w:r>
      <w:r w:rsidR="00000000">
        <w:t>адаад зээлийн задаргаа онцгой юм. Түүний вариацын 70.5 хувь нь эрэлтийн шокод, зөвхөн 17.6 хувь нь гадаад шоко</w:t>
      </w:r>
      <w:r>
        <w:t xml:space="preserve">ор </w:t>
      </w:r>
      <w:r>
        <w:rPr>
          <w:lang w:val="mn-MN"/>
        </w:rPr>
        <w:t>тайлбарлагдана</w:t>
      </w:r>
      <w:r w:rsidR="00000000">
        <w:t>. Өөрөөр хэлбэл</w:t>
      </w:r>
      <w:r>
        <w:t>,</w:t>
      </w:r>
      <w:r w:rsidR="00000000">
        <w:t xml:space="preserve"> банкны гадаад зээлийг гадаад санхүүжилтийн өртөг бус, дотоодын зээлийн эрэлт голчлон хөдөлгөж байна. Хөрөнгө оруулалтын үр ашгийн шок дангаараа 41.3 хувийг эзэлж байгаа нь энэ дүгнэлтийг бататгана.</w:t>
      </w:r>
    </w:p>
    <w:p w14:paraId="139F0B57" w14:textId="77777777" w:rsidR="00D43CAB" w:rsidRDefault="00000000">
      <w:pPr>
        <w:pStyle w:val="Heading3"/>
      </w:pPr>
      <w:bookmarkStart w:id="3" w:name="бодит-эдийн-засгийн-задаргаа"/>
      <w:bookmarkEnd w:id="2"/>
      <w:r>
        <w:t>Бодит эдийн засгийн задаргаа</w:t>
      </w:r>
    </w:p>
    <w:p w14:paraId="5782B543" w14:textId="77777777" w:rsidR="00D43CAB" w:rsidRDefault="00000000">
      <w:pPr>
        <w:pStyle w:val="FirstParagraph"/>
      </w:pPr>
      <w:r>
        <w:t>Бодит хувьсагчид бараг бүхэлдээ дотоод шокод хамаарна. Үйлдвэрлэлийн вариацын 54.3 хувь эрэлтийн, 36.0 хувь банкны блокын шокод ногдох бөгөөд гадаад шокод зөвхөн 0.3 хувь үлдэнэ. Түүнчлэн хэрэглээ, хөрөнгө оруулалт, зээлийн хувьд гадаад шокын эзлэх хувь нэг хувиас доош байна.</w:t>
      </w:r>
    </w:p>
    <w:p w14:paraId="4C70AF12" w14:textId="23E59AB0" w:rsidR="00D43CAB" w:rsidRDefault="00000000">
      <w:pPr>
        <w:pStyle w:val="BodyText"/>
      </w:pPr>
      <w:r>
        <w:t>Энэ нь дотоодын судалгаатай нийцэж байна. Doojav, Batmunkh (2018) нар эрсдэлийн шагналын шокод дотоодын нийт бүтээгдэхүүний вариацын 0.2 хувийг, Doojav, Gantumur (2023) нар гадаад хүүний шокод 0.0 хувийг ногдуулсан. Гурван бие даасан судалгаа ижил дүгнэлтэд хүрч байгаа нь энэ нь загварын онцлог биш, Монголын</w:t>
      </w:r>
      <w:r w:rsidR="000E4723">
        <w:t xml:space="preserve"> макро</w:t>
      </w:r>
      <w:r>
        <w:t xml:space="preserve"> </w:t>
      </w:r>
      <w:r w:rsidR="000E4723">
        <w:t xml:space="preserve">эдийн засаг, санхүүгийн зах зээлийн </w:t>
      </w:r>
      <w:r>
        <w:t>бодит шинж болохыг илтгэнэ.</w:t>
      </w:r>
    </w:p>
    <w:p w14:paraId="19F91650" w14:textId="77777777" w:rsidR="00D43CAB" w:rsidRDefault="00000000">
      <w:pPr>
        <w:pStyle w:val="BodyText"/>
      </w:pPr>
      <w:r>
        <w:t>Гэхдээ эндээс гадаад шок Монголын мөчлөгт ач холбогдолгүй гэсэн дүгнэлт гарахгүй. Doojav, Luvsannyam (2019) нар том хэмжээний Bayesian векторын авторегрессийн загвараар гадаад шок дотоодын нийт бүтээгдэхүүний хэлбэлзлийн 46 хувийг тайлбарладаг гэж тогтоосон бөгөөд түүний дотор гадаадын шууд хөрөнгө оруулалт 20, зэсийн үнэ 12 хувийг эзэлж байв. Тэдгээр нь худалдаа, түүхий эдийн сувгийн шок бөгөөд энэ бүлгийн загварт огт байхгүй. Иймд хоёр үр дүн зөрчилдөхгүй, харин бие биеэ нөхөж байна: гадаад санхүүжилтийн нөхцөл ханшаар дамжин банкны балансад нөлөөлдөг бол гадаад худалдааны нөхцөл үйлдвэрлэлд шууд нөлөөлдөг.</w:t>
      </w:r>
    </w:p>
    <w:p w14:paraId="03D9CD90" w14:textId="77777777" w:rsidR="00D43CAB" w:rsidRDefault="00000000">
      <w:pPr>
        <w:pStyle w:val="Heading3"/>
      </w:pPr>
      <w:bookmarkStart w:id="4" w:name="шокын-хэмжээ-ба-эзлэх-хувь"/>
      <w:bookmarkEnd w:id="3"/>
      <w:r>
        <w:t>Шокын хэмжээ ба эзлэх хувь</w:t>
      </w:r>
    </w:p>
    <w:p w14:paraId="55AFC043" w14:textId="77777777" w:rsidR="00D43CAB" w:rsidRDefault="00000000">
      <w:pPr>
        <w:pStyle w:val="FirstParagraph"/>
      </w:pPr>
      <w:r>
        <w:t>Дээр дурдсан ялгааг эцэст нь тоогоор баталгаажуулъя. Улсын эрсдэлийн шагналын шокын стандарт хазайлт 0.0078 бөгөөд энэ нь загварын хамгийн жижиг шокуудын нэг юм. Харин аж ахуй эрхлэгчийн зээлийн нэмэгдүүлэлтийн шокынх 0.8604, хэрэглээний давуу байдлын шокынх 0.1706 байна. Иймд эрсдэлийн шагналын шок хүчтэй нөлөөтэй боловч ховор бөгөөд бага хэмжээгээр тохиолддог тул нийт вариацад бага хувь эзэлж байна.</w:t>
      </w:r>
    </w:p>
    <w:p w14:paraId="526FB7F6" w14:textId="19C93B7E" w:rsidR="00D43CAB" w:rsidRDefault="00000000">
      <w:pPr>
        <w:pStyle w:val="BodyText"/>
      </w:pPr>
      <w:r>
        <w:t xml:space="preserve">Энэ нь бодлогын хувьд чухал ажээ. </w:t>
      </w:r>
      <w:r w:rsidR="000E4723">
        <w:t>Энгийн</w:t>
      </w:r>
      <w:r>
        <w:t xml:space="preserve"> үед </w:t>
      </w:r>
      <w:r w:rsidR="000E4723">
        <w:t xml:space="preserve">тодруулбал, </w:t>
      </w:r>
      <w:r>
        <w:t xml:space="preserve">гадаад санхүүжилтийн нөхцөл тайван байх үед банкны баланс дотоодын хүчин зүйлээр тодорхойлогдоно. Харин 5.3 хэсэгт үзүүлэх шиг гадаад нөхцөл огцом өөрчлөгдөх үед тэдгээр нь дотоодын бүх хүчин зүйлийг дарж чаддаг. Эцэст нь вариацын задаргаа өргөтгөлийн ач холбогдлыг өөр өнцгөөс </w:t>
      </w:r>
      <w:r>
        <w:lastRenderedPageBreak/>
        <w:t>баталж байна. Ханшийн хэлбэлзлийн 90.4 хувь нь гадаад санхүүжилтийн шокод ногдож байгаа тул тэдгээрийг орхивол уг хэлбэлзэл бүхэлдээ тайлбарлагдахгүй үлдэнэ. Ийнхүү жижиг, нээлттэй эдийн засгийн блок нь зөвхөн нэмэлт хэсэг бус, ханшийн динамикийг тайлбарлах цорын ганц эх үүсвэр болж байна.</w:t>
      </w:r>
    </w:p>
    <w:p w14:paraId="22F1283E" w14:textId="33EA8B1E" w:rsidR="00D43CAB" w:rsidRDefault="00000000">
      <w:pPr>
        <w:pStyle w:val="BodyText"/>
      </w:pPr>
      <w:r>
        <w:t xml:space="preserve">Банкны хувьсагчдын хувьд өргөтгөлийн үүрэг өөр хэлбэрээр илэрнэ. Гадаад шок банкны өөрийн хөрөнгийн вариацын 4.8 хувийг л эзэлдэг тул зөвхөн энэ тоог харвал ач холбогдол багатай мэт харагдана. Гэвч уг тоо нь нөлөөний хэмжээг бус, давтамжийг тусгаж байгаа юм. Дотоод шок эхний улирлуудад төвлөрсөн, хурдан сэргэдэг цохилт өгдөг бол гадаад шок </w:t>
      </w:r>
      <w:r w:rsidR="000E4723">
        <w:t>хугацааны хоцрогдолтой</w:t>
      </w:r>
      <w:r>
        <w:t xml:space="preserve"> илэрч, дунд хугацаанд гүнзгийрдэг. Өөрөөр хэлбэл</w:t>
      </w:r>
      <w:r w:rsidR="000E4723">
        <w:t>,</w:t>
      </w:r>
      <w:r>
        <w:t xml:space="preserve"> вариацын задаргаа ердийн үеийн дүр зургийг</w:t>
      </w:r>
      <w:r w:rsidR="000E4723">
        <w:t xml:space="preserve"> харуулах бол </w:t>
      </w:r>
      <w:r>
        <w:t>импульсийн хариу үйлдэл  ховор боловч удаан үргэлжлэх эрсдэлийг харуулах бөгөөд банкны балансын валютын үл тохирооны бодит зардлыг хоёуланг нь харж байж л үнэлж болно.</w:t>
      </w:r>
      <w:r>
        <w:rPr>
          <w:b/>
          <w:bCs/>
        </w:rPr>
        <w:t>Хүснэгт 7.</w:t>
      </w:r>
      <w:r>
        <w:t xml:space="preserve"> Вариацын задаргаа, хувиар</w:t>
      </w:r>
    </w:p>
    <w:tbl>
      <w:tblPr>
        <w:tblStyle w:val="Table"/>
        <w:tblW w:w="0" w:type="auto"/>
        <w:tblLook w:val="0020" w:firstRow="1" w:lastRow="0" w:firstColumn="0" w:lastColumn="0" w:noHBand="0" w:noVBand="0"/>
      </w:tblPr>
      <w:tblGrid>
        <w:gridCol w:w="2688"/>
        <w:gridCol w:w="919"/>
        <w:gridCol w:w="706"/>
        <w:gridCol w:w="823"/>
        <w:gridCol w:w="1454"/>
        <w:gridCol w:w="2165"/>
      </w:tblGrid>
      <w:tr w:rsidR="00D43CAB" w14:paraId="3E92CFFB" w14:textId="77777777" w:rsidTr="00D43CAB">
        <w:trPr>
          <w:cnfStyle w:val="100000000000" w:firstRow="1" w:lastRow="0" w:firstColumn="0" w:lastColumn="0" w:oddVBand="0" w:evenVBand="0" w:oddHBand="0" w:evenHBand="0" w:firstRowFirstColumn="0" w:firstRowLastColumn="0" w:lastRowFirstColumn="0" w:lastRowLastColumn="0"/>
          <w:tblHeader/>
        </w:trPr>
        <w:tc>
          <w:tcPr>
            <w:tcW w:w="0" w:type="auto"/>
          </w:tcPr>
          <w:p w14:paraId="18A19E21" w14:textId="77777777" w:rsidR="00D43CAB" w:rsidRDefault="00000000">
            <w:pPr>
              <w:pStyle w:val="Compact"/>
            </w:pPr>
            <w:r>
              <w:t>Хувьсагч</w:t>
            </w:r>
          </w:p>
        </w:tc>
        <w:tc>
          <w:tcPr>
            <w:tcW w:w="0" w:type="auto"/>
          </w:tcPr>
          <w:p w14:paraId="0B3C1608" w14:textId="77777777" w:rsidR="00D43CAB" w:rsidRDefault="00000000">
            <w:pPr>
              <w:pStyle w:val="Compact"/>
            </w:pPr>
            <w:r>
              <w:t>Гадаад</w:t>
            </w:r>
          </w:p>
        </w:tc>
        <w:tc>
          <w:tcPr>
            <w:tcW w:w="0" w:type="auto"/>
          </w:tcPr>
          <w:p w14:paraId="1B25F3AC" w14:textId="77777777" w:rsidR="00D43CAB" w:rsidRDefault="00000000">
            <w:pPr>
              <w:pStyle w:val="Compact"/>
            </w:pPr>
            <w:r>
              <w:t>Банк</w:t>
            </w:r>
          </w:p>
        </w:tc>
        <w:tc>
          <w:tcPr>
            <w:tcW w:w="0" w:type="auto"/>
          </w:tcPr>
          <w:p w14:paraId="1A01BAE5" w14:textId="77777777" w:rsidR="00D43CAB" w:rsidRDefault="00000000">
            <w:pPr>
              <w:pStyle w:val="Compact"/>
            </w:pPr>
            <w:r>
              <w:t>Эрэлт</w:t>
            </w:r>
          </w:p>
        </w:tc>
        <w:tc>
          <w:tcPr>
            <w:tcW w:w="0" w:type="auto"/>
          </w:tcPr>
          <w:p w14:paraId="4F6B9984" w14:textId="77777777" w:rsidR="00D43CAB" w:rsidRDefault="00000000">
            <w:pPr>
              <w:pStyle w:val="Compact"/>
            </w:pPr>
            <w:r>
              <w:t>Нийлүүлэлт</w:t>
            </w:r>
          </w:p>
        </w:tc>
        <w:tc>
          <w:tcPr>
            <w:tcW w:w="0" w:type="auto"/>
          </w:tcPr>
          <w:p w14:paraId="6DED2AE0" w14:textId="77777777" w:rsidR="00D43CAB" w:rsidRDefault="00000000">
            <w:pPr>
              <w:pStyle w:val="Compact"/>
            </w:pPr>
            <w:r>
              <w:t>Мөнгөний бодлого</w:t>
            </w:r>
          </w:p>
        </w:tc>
      </w:tr>
      <w:tr w:rsidR="00D43CAB" w14:paraId="34B6D8AC" w14:textId="77777777">
        <w:tc>
          <w:tcPr>
            <w:tcW w:w="0" w:type="auto"/>
          </w:tcPr>
          <w:p w14:paraId="2141ACB9" w14:textId="77777777" w:rsidR="00D43CAB" w:rsidRDefault="00000000">
            <w:pPr>
              <w:pStyle w:val="Compact"/>
            </w:pPr>
            <w:r>
              <w:t>Ханш</w:t>
            </w:r>
          </w:p>
        </w:tc>
        <w:tc>
          <w:tcPr>
            <w:tcW w:w="0" w:type="auto"/>
          </w:tcPr>
          <w:p w14:paraId="6F8BF531" w14:textId="77777777" w:rsidR="00D43CAB" w:rsidRDefault="00000000">
            <w:pPr>
              <w:pStyle w:val="Compact"/>
            </w:pPr>
            <w:r>
              <w:t>90.4</w:t>
            </w:r>
          </w:p>
        </w:tc>
        <w:tc>
          <w:tcPr>
            <w:tcW w:w="0" w:type="auto"/>
          </w:tcPr>
          <w:p w14:paraId="674A5DA6" w14:textId="77777777" w:rsidR="00D43CAB" w:rsidRDefault="00000000">
            <w:pPr>
              <w:pStyle w:val="Compact"/>
            </w:pPr>
            <w:r>
              <w:t>1.5</w:t>
            </w:r>
          </w:p>
        </w:tc>
        <w:tc>
          <w:tcPr>
            <w:tcW w:w="0" w:type="auto"/>
          </w:tcPr>
          <w:p w14:paraId="2AF78518" w14:textId="77777777" w:rsidR="00D43CAB" w:rsidRDefault="00000000">
            <w:pPr>
              <w:pStyle w:val="Compact"/>
            </w:pPr>
            <w:r>
              <w:t>4.4</w:t>
            </w:r>
          </w:p>
        </w:tc>
        <w:tc>
          <w:tcPr>
            <w:tcW w:w="0" w:type="auto"/>
          </w:tcPr>
          <w:p w14:paraId="74B9B0BF" w14:textId="77777777" w:rsidR="00D43CAB" w:rsidRDefault="00000000">
            <w:pPr>
              <w:pStyle w:val="Compact"/>
            </w:pPr>
            <w:r>
              <w:t>3.4</w:t>
            </w:r>
          </w:p>
        </w:tc>
        <w:tc>
          <w:tcPr>
            <w:tcW w:w="0" w:type="auto"/>
          </w:tcPr>
          <w:p w14:paraId="12BE9716" w14:textId="77777777" w:rsidR="00D43CAB" w:rsidRDefault="00000000">
            <w:pPr>
              <w:pStyle w:val="Compact"/>
            </w:pPr>
            <w:r>
              <w:t>0.3</w:t>
            </w:r>
          </w:p>
        </w:tc>
      </w:tr>
      <w:tr w:rsidR="00D43CAB" w14:paraId="04E2EB19" w14:textId="77777777">
        <w:tc>
          <w:tcPr>
            <w:tcW w:w="0" w:type="auto"/>
          </w:tcPr>
          <w:p w14:paraId="65A3025E" w14:textId="77777777" w:rsidR="00D43CAB" w:rsidRDefault="00000000">
            <w:pPr>
              <w:pStyle w:val="Compact"/>
            </w:pPr>
            <w:r>
              <w:t>Гадаад зээллэг</w:t>
            </w:r>
          </w:p>
        </w:tc>
        <w:tc>
          <w:tcPr>
            <w:tcW w:w="0" w:type="auto"/>
          </w:tcPr>
          <w:p w14:paraId="399EBFB8" w14:textId="77777777" w:rsidR="00D43CAB" w:rsidRDefault="00000000">
            <w:pPr>
              <w:pStyle w:val="Compact"/>
            </w:pPr>
            <w:r>
              <w:t>17.6</w:t>
            </w:r>
          </w:p>
        </w:tc>
        <w:tc>
          <w:tcPr>
            <w:tcW w:w="0" w:type="auto"/>
          </w:tcPr>
          <w:p w14:paraId="1A2DBB15" w14:textId="77777777" w:rsidR="00D43CAB" w:rsidRDefault="00000000">
            <w:pPr>
              <w:pStyle w:val="Compact"/>
            </w:pPr>
            <w:r>
              <w:t>3.8</w:t>
            </w:r>
          </w:p>
        </w:tc>
        <w:tc>
          <w:tcPr>
            <w:tcW w:w="0" w:type="auto"/>
          </w:tcPr>
          <w:p w14:paraId="676EC1CF" w14:textId="77777777" w:rsidR="00D43CAB" w:rsidRDefault="00000000">
            <w:pPr>
              <w:pStyle w:val="Compact"/>
            </w:pPr>
            <w:r>
              <w:t>70.5</w:t>
            </w:r>
          </w:p>
        </w:tc>
        <w:tc>
          <w:tcPr>
            <w:tcW w:w="0" w:type="auto"/>
          </w:tcPr>
          <w:p w14:paraId="1F0E1059" w14:textId="77777777" w:rsidR="00D43CAB" w:rsidRDefault="00000000">
            <w:pPr>
              <w:pStyle w:val="Compact"/>
            </w:pPr>
            <w:r>
              <w:t>2.1</w:t>
            </w:r>
          </w:p>
        </w:tc>
        <w:tc>
          <w:tcPr>
            <w:tcW w:w="0" w:type="auto"/>
          </w:tcPr>
          <w:p w14:paraId="7995DA41" w14:textId="77777777" w:rsidR="00D43CAB" w:rsidRDefault="00000000">
            <w:pPr>
              <w:pStyle w:val="Compact"/>
            </w:pPr>
            <w:r>
              <w:t>6.0</w:t>
            </w:r>
          </w:p>
        </w:tc>
      </w:tr>
      <w:tr w:rsidR="00D43CAB" w14:paraId="3133CA65" w14:textId="77777777">
        <w:tc>
          <w:tcPr>
            <w:tcW w:w="0" w:type="auto"/>
          </w:tcPr>
          <w:p w14:paraId="1061DEC0" w14:textId="77777777" w:rsidR="00D43CAB" w:rsidRDefault="00000000">
            <w:pPr>
              <w:pStyle w:val="Compact"/>
            </w:pPr>
            <w:r>
              <w:t>Банкны ашиг</w:t>
            </w:r>
          </w:p>
        </w:tc>
        <w:tc>
          <w:tcPr>
            <w:tcW w:w="0" w:type="auto"/>
          </w:tcPr>
          <w:p w14:paraId="15AB15DD" w14:textId="77777777" w:rsidR="00D43CAB" w:rsidRDefault="00000000">
            <w:pPr>
              <w:pStyle w:val="Compact"/>
            </w:pPr>
            <w:r>
              <w:t>7.3</w:t>
            </w:r>
          </w:p>
        </w:tc>
        <w:tc>
          <w:tcPr>
            <w:tcW w:w="0" w:type="auto"/>
          </w:tcPr>
          <w:p w14:paraId="5F7275E8" w14:textId="77777777" w:rsidR="00D43CAB" w:rsidRDefault="00000000">
            <w:pPr>
              <w:pStyle w:val="Compact"/>
            </w:pPr>
            <w:r>
              <w:t>57.7</w:t>
            </w:r>
          </w:p>
        </w:tc>
        <w:tc>
          <w:tcPr>
            <w:tcW w:w="0" w:type="auto"/>
          </w:tcPr>
          <w:p w14:paraId="45222F14" w14:textId="77777777" w:rsidR="00D43CAB" w:rsidRDefault="00000000">
            <w:pPr>
              <w:pStyle w:val="Compact"/>
            </w:pPr>
            <w:r>
              <w:t>24.1</w:t>
            </w:r>
          </w:p>
        </w:tc>
        <w:tc>
          <w:tcPr>
            <w:tcW w:w="0" w:type="auto"/>
          </w:tcPr>
          <w:p w14:paraId="4B74FE63" w14:textId="77777777" w:rsidR="00D43CAB" w:rsidRDefault="00000000">
            <w:pPr>
              <w:pStyle w:val="Compact"/>
            </w:pPr>
            <w:r>
              <w:t>8.0</w:t>
            </w:r>
          </w:p>
        </w:tc>
        <w:tc>
          <w:tcPr>
            <w:tcW w:w="0" w:type="auto"/>
          </w:tcPr>
          <w:p w14:paraId="624FF9EC" w14:textId="77777777" w:rsidR="00D43CAB" w:rsidRDefault="00000000">
            <w:pPr>
              <w:pStyle w:val="Compact"/>
            </w:pPr>
            <w:r>
              <w:t>2.9</w:t>
            </w:r>
          </w:p>
        </w:tc>
      </w:tr>
      <w:tr w:rsidR="00D43CAB" w14:paraId="4A93F3C0" w14:textId="77777777">
        <w:tc>
          <w:tcPr>
            <w:tcW w:w="0" w:type="auto"/>
          </w:tcPr>
          <w:p w14:paraId="2AE8619B" w14:textId="77777777" w:rsidR="00D43CAB" w:rsidRDefault="00000000">
            <w:pPr>
              <w:pStyle w:val="Compact"/>
            </w:pPr>
            <w:r>
              <w:t>Банкны өөрийн хөрөнгө</w:t>
            </w:r>
          </w:p>
        </w:tc>
        <w:tc>
          <w:tcPr>
            <w:tcW w:w="0" w:type="auto"/>
          </w:tcPr>
          <w:p w14:paraId="2FF533C7" w14:textId="77777777" w:rsidR="00D43CAB" w:rsidRDefault="00000000">
            <w:pPr>
              <w:pStyle w:val="Compact"/>
            </w:pPr>
            <w:r>
              <w:t>4.8</w:t>
            </w:r>
          </w:p>
        </w:tc>
        <w:tc>
          <w:tcPr>
            <w:tcW w:w="0" w:type="auto"/>
          </w:tcPr>
          <w:p w14:paraId="6CD0232B" w14:textId="77777777" w:rsidR="00D43CAB" w:rsidRDefault="00000000">
            <w:pPr>
              <w:pStyle w:val="Compact"/>
            </w:pPr>
            <w:r>
              <w:t>50.2</w:t>
            </w:r>
          </w:p>
        </w:tc>
        <w:tc>
          <w:tcPr>
            <w:tcW w:w="0" w:type="auto"/>
          </w:tcPr>
          <w:p w14:paraId="07E22C93" w14:textId="77777777" w:rsidR="00D43CAB" w:rsidRDefault="00000000">
            <w:pPr>
              <w:pStyle w:val="Compact"/>
            </w:pPr>
            <w:r>
              <w:t>37.7</w:t>
            </w:r>
          </w:p>
        </w:tc>
        <w:tc>
          <w:tcPr>
            <w:tcW w:w="0" w:type="auto"/>
          </w:tcPr>
          <w:p w14:paraId="0AD4B1F0" w14:textId="77777777" w:rsidR="00D43CAB" w:rsidRDefault="00000000">
            <w:pPr>
              <w:pStyle w:val="Compact"/>
            </w:pPr>
            <w:r>
              <w:t>4.5</w:t>
            </w:r>
          </w:p>
        </w:tc>
        <w:tc>
          <w:tcPr>
            <w:tcW w:w="0" w:type="auto"/>
          </w:tcPr>
          <w:p w14:paraId="1CBAEFF3" w14:textId="77777777" w:rsidR="00D43CAB" w:rsidRDefault="00000000">
            <w:pPr>
              <w:pStyle w:val="Compact"/>
            </w:pPr>
            <w:r>
              <w:t>2.9</w:t>
            </w:r>
          </w:p>
        </w:tc>
      </w:tr>
      <w:tr w:rsidR="00D43CAB" w14:paraId="2351812A" w14:textId="77777777">
        <w:tc>
          <w:tcPr>
            <w:tcW w:w="0" w:type="auto"/>
          </w:tcPr>
          <w:p w14:paraId="28FAE89D" w14:textId="77777777" w:rsidR="00D43CAB" w:rsidRDefault="00000000">
            <w:pPr>
              <w:pStyle w:val="Compact"/>
            </w:pPr>
            <w:r>
              <w:t>Банкны спред</w:t>
            </w:r>
          </w:p>
        </w:tc>
        <w:tc>
          <w:tcPr>
            <w:tcW w:w="0" w:type="auto"/>
          </w:tcPr>
          <w:p w14:paraId="3CBA9D09" w14:textId="77777777" w:rsidR="00D43CAB" w:rsidRDefault="00000000">
            <w:pPr>
              <w:pStyle w:val="Compact"/>
            </w:pPr>
            <w:r>
              <w:t>0.7</w:t>
            </w:r>
          </w:p>
        </w:tc>
        <w:tc>
          <w:tcPr>
            <w:tcW w:w="0" w:type="auto"/>
          </w:tcPr>
          <w:p w14:paraId="5E273F7B" w14:textId="77777777" w:rsidR="00D43CAB" w:rsidRDefault="00000000">
            <w:pPr>
              <w:pStyle w:val="Compact"/>
            </w:pPr>
            <w:r>
              <w:t>71.1</w:t>
            </w:r>
          </w:p>
        </w:tc>
        <w:tc>
          <w:tcPr>
            <w:tcW w:w="0" w:type="auto"/>
          </w:tcPr>
          <w:p w14:paraId="22BB2A07" w14:textId="77777777" w:rsidR="00D43CAB" w:rsidRDefault="00000000">
            <w:pPr>
              <w:pStyle w:val="Compact"/>
            </w:pPr>
            <w:r>
              <w:t>14.2</w:t>
            </w:r>
          </w:p>
        </w:tc>
        <w:tc>
          <w:tcPr>
            <w:tcW w:w="0" w:type="auto"/>
          </w:tcPr>
          <w:p w14:paraId="014807F1" w14:textId="77777777" w:rsidR="00D43CAB" w:rsidRDefault="00000000">
            <w:pPr>
              <w:pStyle w:val="Compact"/>
            </w:pPr>
            <w:r>
              <w:t>11.2</w:t>
            </w:r>
          </w:p>
        </w:tc>
        <w:tc>
          <w:tcPr>
            <w:tcW w:w="0" w:type="auto"/>
          </w:tcPr>
          <w:p w14:paraId="43656146" w14:textId="77777777" w:rsidR="00D43CAB" w:rsidRDefault="00000000">
            <w:pPr>
              <w:pStyle w:val="Compact"/>
            </w:pPr>
            <w:r>
              <w:t>2.8</w:t>
            </w:r>
          </w:p>
        </w:tc>
      </w:tr>
      <w:tr w:rsidR="00D43CAB" w14:paraId="6D44DAB6" w14:textId="77777777">
        <w:tc>
          <w:tcPr>
            <w:tcW w:w="0" w:type="auto"/>
          </w:tcPr>
          <w:p w14:paraId="08D4F92F" w14:textId="77777777" w:rsidR="00D43CAB" w:rsidRDefault="00000000">
            <w:pPr>
              <w:pStyle w:val="Compact"/>
            </w:pPr>
            <w:r>
              <w:t>Зээлийн хүү</w:t>
            </w:r>
          </w:p>
        </w:tc>
        <w:tc>
          <w:tcPr>
            <w:tcW w:w="0" w:type="auto"/>
          </w:tcPr>
          <w:p w14:paraId="6D683A24" w14:textId="77777777" w:rsidR="00D43CAB" w:rsidRDefault="00000000">
            <w:pPr>
              <w:pStyle w:val="Compact"/>
            </w:pPr>
            <w:r>
              <w:t>1.0</w:t>
            </w:r>
          </w:p>
        </w:tc>
        <w:tc>
          <w:tcPr>
            <w:tcW w:w="0" w:type="auto"/>
          </w:tcPr>
          <w:p w14:paraId="528B6E83" w14:textId="77777777" w:rsidR="00D43CAB" w:rsidRDefault="00000000">
            <w:pPr>
              <w:pStyle w:val="Compact"/>
            </w:pPr>
            <w:r>
              <w:t>25.5</w:t>
            </w:r>
          </w:p>
        </w:tc>
        <w:tc>
          <w:tcPr>
            <w:tcW w:w="0" w:type="auto"/>
          </w:tcPr>
          <w:p w14:paraId="4A1B861C" w14:textId="77777777" w:rsidR="00D43CAB" w:rsidRDefault="00000000">
            <w:pPr>
              <w:pStyle w:val="Compact"/>
            </w:pPr>
            <w:r>
              <w:t>39.4</w:t>
            </w:r>
          </w:p>
        </w:tc>
        <w:tc>
          <w:tcPr>
            <w:tcW w:w="0" w:type="auto"/>
          </w:tcPr>
          <w:p w14:paraId="1CF4B6F1" w14:textId="77777777" w:rsidR="00D43CAB" w:rsidRDefault="00000000">
            <w:pPr>
              <w:pStyle w:val="Compact"/>
            </w:pPr>
            <w:r>
              <w:t>28.9</w:t>
            </w:r>
          </w:p>
        </w:tc>
        <w:tc>
          <w:tcPr>
            <w:tcW w:w="0" w:type="auto"/>
          </w:tcPr>
          <w:p w14:paraId="731AFC10" w14:textId="77777777" w:rsidR="00D43CAB" w:rsidRDefault="00000000">
            <w:pPr>
              <w:pStyle w:val="Compact"/>
            </w:pPr>
            <w:r>
              <w:t>5.2</w:t>
            </w:r>
          </w:p>
        </w:tc>
      </w:tr>
      <w:tr w:rsidR="00D43CAB" w14:paraId="43E8DD72" w14:textId="77777777">
        <w:tc>
          <w:tcPr>
            <w:tcW w:w="0" w:type="auto"/>
          </w:tcPr>
          <w:p w14:paraId="05875D59" w14:textId="77777777" w:rsidR="00D43CAB" w:rsidRDefault="00000000">
            <w:pPr>
              <w:pStyle w:val="Compact"/>
            </w:pPr>
            <w:r>
              <w:t>Зээл</w:t>
            </w:r>
          </w:p>
        </w:tc>
        <w:tc>
          <w:tcPr>
            <w:tcW w:w="0" w:type="auto"/>
          </w:tcPr>
          <w:p w14:paraId="3514E218" w14:textId="77777777" w:rsidR="00D43CAB" w:rsidRDefault="00000000">
            <w:pPr>
              <w:pStyle w:val="Compact"/>
            </w:pPr>
            <w:r>
              <w:t>0.2</w:t>
            </w:r>
          </w:p>
        </w:tc>
        <w:tc>
          <w:tcPr>
            <w:tcW w:w="0" w:type="auto"/>
          </w:tcPr>
          <w:p w14:paraId="7D32867C" w14:textId="77777777" w:rsidR="00D43CAB" w:rsidRDefault="00000000">
            <w:pPr>
              <w:pStyle w:val="Compact"/>
            </w:pPr>
            <w:r>
              <w:t>4.7</w:t>
            </w:r>
          </w:p>
        </w:tc>
        <w:tc>
          <w:tcPr>
            <w:tcW w:w="0" w:type="auto"/>
          </w:tcPr>
          <w:p w14:paraId="165E4619" w14:textId="77777777" w:rsidR="00D43CAB" w:rsidRDefault="00000000">
            <w:pPr>
              <w:pStyle w:val="Compact"/>
            </w:pPr>
            <w:r>
              <w:t>85.1</w:t>
            </w:r>
          </w:p>
        </w:tc>
        <w:tc>
          <w:tcPr>
            <w:tcW w:w="0" w:type="auto"/>
          </w:tcPr>
          <w:p w14:paraId="39B3FB15" w14:textId="77777777" w:rsidR="00D43CAB" w:rsidRDefault="00000000">
            <w:pPr>
              <w:pStyle w:val="Compact"/>
            </w:pPr>
            <w:r>
              <w:t>3.3</w:t>
            </w:r>
          </w:p>
        </w:tc>
        <w:tc>
          <w:tcPr>
            <w:tcW w:w="0" w:type="auto"/>
          </w:tcPr>
          <w:p w14:paraId="48B431D7" w14:textId="77777777" w:rsidR="00D43CAB" w:rsidRDefault="00000000">
            <w:pPr>
              <w:pStyle w:val="Compact"/>
            </w:pPr>
            <w:r>
              <w:t>6.7</w:t>
            </w:r>
          </w:p>
        </w:tc>
      </w:tr>
      <w:tr w:rsidR="00D43CAB" w14:paraId="14E40CB0" w14:textId="77777777">
        <w:tc>
          <w:tcPr>
            <w:tcW w:w="0" w:type="auto"/>
          </w:tcPr>
          <w:p w14:paraId="57843E2C" w14:textId="77777777" w:rsidR="00D43CAB" w:rsidRDefault="00000000">
            <w:pPr>
              <w:pStyle w:val="Compact"/>
            </w:pPr>
            <w:r>
              <w:t>Бодлогын хүү</w:t>
            </w:r>
          </w:p>
        </w:tc>
        <w:tc>
          <w:tcPr>
            <w:tcW w:w="0" w:type="auto"/>
          </w:tcPr>
          <w:p w14:paraId="0751FD12" w14:textId="77777777" w:rsidR="00D43CAB" w:rsidRDefault="00000000">
            <w:pPr>
              <w:pStyle w:val="Compact"/>
            </w:pPr>
            <w:r>
              <w:t>0.2</w:t>
            </w:r>
          </w:p>
        </w:tc>
        <w:tc>
          <w:tcPr>
            <w:tcW w:w="0" w:type="auto"/>
          </w:tcPr>
          <w:p w14:paraId="6F666245" w14:textId="77777777" w:rsidR="00D43CAB" w:rsidRDefault="00000000">
            <w:pPr>
              <w:pStyle w:val="Compact"/>
            </w:pPr>
            <w:r>
              <w:t>6.5</w:t>
            </w:r>
          </w:p>
        </w:tc>
        <w:tc>
          <w:tcPr>
            <w:tcW w:w="0" w:type="auto"/>
          </w:tcPr>
          <w:p w14:paraId="45D4DCE3" w14:textId="77777777" w:rsidR="00D43CAB" w:rsidRDefault="00000000">
            <w:pPr>
              <w:pStyle w:val="Compact"/>
            </w:pPr>
            <w:r>
              <w:t>31.2</w:t>
            </w:r>
          </w:p>
        </w:tc>
        <w:tc>
          <w:tcPr>
            <w:tcW w:w="0" w:type="auto"/>
          </w:tcPr>
          <w:p w14:paraId="122AD8FE" w14:textId="77777777" w:rsidR="00D43CAB" w:rsidRDefault="00000000">
            <w:pPr>
              <w:pStyle w:val="Compact"/>
            </w:pPr>
            <w:r>
              <w:t>42.5</w:t>
            </w:r>
          </w:p>
        </w:tc>
        <w:tc>
          <w:tcPr>
            <w:tcW w:w="0" w:type="auto"/>
          </w:tcPr>
          <w:p w14:paraId="10D34AAA" w14:textId="77777777" w:rsidR="00D43CAB" w:rsidRDefault="00000000">
            <w:pPr>
              <w:pStyle w:val="Compact"/>
            </w:pPr>
            <w:r>
              <w:t>19.6</w:t>
            </w:r>
          </w:p>
        </w:tc>
      </w:tr>
      <w:tr w:rsidR="00D43CAB" w14:paraId="1B594337" w14:textId="77777777">
        <w:tc>
          <w:tcPr>
            <w:tcW w:w="0" w:type="auto"/>
          </w:tcPr>
          <w:p w14:paraId="0BC786DF" w14:textId="77777777" w:rsidR="00D43CAB" w:rsidRDefault="00000000">
            <w:pPr>
              <w:pStyle w:val="Compact"/>
            </w:pPr>
            <w:r>
              <w:t>Инфляц</w:t>
            </w:r>
          </w:p>
        </w:tc>
        <w:tc>
          <w:tcPr>
            <w:tcW w:w="0" w:type="auto"/>
          </w:tcPr>
          <w:p w14:paraId="008DBEB4" w14:textId="77777777" w:rsidR="00D43CAB" w:rsidRDefault="00000000">
            <w:pPr>
              <w:pStyle w:val="Compact"/>
            </w:pPr>
            <w:r>
              <w:t>0.1</w:t>
            </w:r>
          </w:p>
        </w:tc>
        <w:tc>
          <w:tcPr>
            <w:tcW w:w="0" w:type="auto"/>
          </w:tcPr>
          <w:p w14:paraId="58D9C0E0" w14:textId="77777777" w:rsidR="00D43CAB" w:rsidRDefault="00000000">
            <w:pPr>
              <w:pStyle w:val="Compact"/>
            </w:pPr>
            <w:r>
              <w:t>3.0</w:t>
            </w:r>
          </w:p>
        </w:tc>
        <w:tc>
          <w:tcPr>
            <w:tcW w:w="0" w:type="auto"/>
          </w:tcPr>
          <w:p w14:paraId="34C94823" w14:textId="77777777" w:rsidR="00D43CAB" w:rsidRDefault="00000000">
            <w:pPr>
              <w:pStyle w:val="Compact"/>
            </w:pPr>
            <w:r>
              <w:t>15.0</w:t>
            </w:r>
          </w:p>
        </w:tc>
        <w:tc>
          <w:tcPr>
            <w:tcW w:w="0" w:type="auto"/>
          </w:tcPr>
          <w:p w14:paraId="28E14833" w14:textId="77777777" w:rsidR="00D43CAB" w:rsidRDefault="00000000">
            <w:pPr>
              <w:pStyle w:val="Compact"/>
            </w:pPr>
            <w:r>
              <w:t>60.2</w:t>
            </w:r>
          </w:p>
        </w:tc>
        <w:tc>
          <w:tcPr>
            <w:tcW w:w="0" w:type="auto"/>
          </w:tcPr>
          <w:p w14:paraId="659B8C11" w14:textId="77777777" w:rsidR="00D43CAB" w:rsidRDefault="00000000">
            <w:pPr>
              <w:pStyle w:val="Compact"/>
            </w:pPr>
            <w:r>
              <w:t>21.8</w:t>
            </w:r>
          </w:p>
        </w:tc>
      </w:tr>
      <w:tr w:rsidR="00D43CAB" w14:paraId="7A9CA280" w14:textId="77777777">
        <w:tc>
          <w:tcPr>
            <w:tcW w:w="0" w:type="auto"/>
          </w:tcPr>
          <w:p w14:paraId="4A74630E" w14:textId="77777777" w:rsidR="00D43CAB" w:rsidRDefault="00000000">
            <w:pPr>
              <w:pStyle w:val="Compact"/>
            </w:pPr>
            <w:r>
              <w:t>Хэрэглээ</w:t>
            </w:r>
          </w:p>
        </w:tc>
        <w:tc>
          <w:tcPr>
            <w:tcW w:w="0" w:type="auto"/>
          </w:tcPr>
          <w:p w14:paraId="6E08F443" w14:textId="77777777" w:rsidR="00D43CAB" w:rsidRDefault="00000000">
            <w:pPr>
              <w:pStyle w:val="Compact"/>
            </w:pPr>
            <w:r>
              <w:t>0.0</w:t>
            </w:r>
          </w:p>
        </w:tc>
        <w:tc>
          <w:tcPr>
            <w:tcW w:w="0" w:type="auto"/>
          </w:tcPr>
          <w:p w14:paraId="688FA8EC" w14:textId="77777777" w:rsidR="00D43CAB" w:rsidRDefault="00000000">
            <w:pPr>
              <w:pStyle w:val="Compact"/>
            </w:pPr>
            <w:r>
              <w:t>1.8</w:t>
            </w:r>
          </w:p>
        </w:tc>
        <w:tc>
          <w:tcPr>
            <w:tcW w:w="0" w:type="auto"/>
          </w:tcPr>
          <w:p w14:paraId="6A5045DD" w14:textId="77777777" w:rsidR="00D43CAB" w:rsidRDefault="00000000">
            <w:pPr>
              <w:pStyle w:val="Compact"/>
            </w:pPr>
            <w:r>
              <w:t>88.0</w:t>
            </w:r>
          </w:p>
        </w:tc>
        <w:tc>
          <w:tcPr>
            <w:tcW w:w="0" w:type="auto"/>
          </w:tcPr>
          <w:p w14:paraId="24953136" w14:textId="77777777" w:rsidR="00D43CAB" w:rsidRDefault="00000000">
            <w:pPr>
              <w:pStyle w:val="Compact"/>
            </w:pPr>
            <w:r>
              <w:t>5.8</w:t>
            </w:r>
          </w:p>
        </w:tc>
        <w:tc>
          <w:tcPr>
            <w:tcW w:w="0" w:type="auto"/>
          </w:tcPr>
          <w:p w14:paraId="0A8DBD1C" w14:textId="77777777" w:rsidR="00D43CAB" w:rsidRDefault="00000000">
            <w:pPr>
              <w:pStyle w:val="Compact"/>
            </w:pPr>
            <w:r>
              <w:t>4.3</w:t>
            </w:r>
          </w:p>
        </w:tc>
      </w:tr>
      <w:tr w:rsidR="00D43CAB" w14:paraId="5BDE5AFC" w14:textId="77777777">
        <w:tc>
          <w:tcPr>
            <w:tcW w:w="0" w:type="auto"/>
          </w:tcPr>
          <w:p w14:paraId="661305B4" w14:textId="77777777" w:rsidR="00D43CAB" w:rsidRDefault="00000000">
            <w:pPr>
              <w:pStyle w:val="Compact"/>
            </w:pPr>
            <w:r>
              <w:t>Хөрөнгө оруулалт</w:t>
            </w:r>
          </w:p>
        </w:tc>
        <w:tc>
          <w:tcPr>
            <w:tcW w:w="0" w:type="auto"/>
          </w:tcPr>
          <w:p w14:paraId="02CEB851" w14:textId="77777777" w:rsidR="00D43CAB" w:rsidRDefault="00000000">
            <w:pPr>
              <w:pStyle w:val="Compact"/>
            </w:pPr>
            <w:r>
              <w:t>0.1</w:t>
            </w:r>
          </w:p>
        </w:tc>
        <w:tc>
          <w:tcPr>
            <w:tcW w:w="0" w:type="auto"/>
          </w:tcPr>
          <w:p w14:paraId="4F819A72" w14:textId="77777777" w:rsidR="00D43CAB" w:rsidRDefault="00000000">
            <w:pPr>
              <w:pStyle w:val="Compact"/>
            </w:pPr>
            <w:r>
              <w:t>4.5</w:t>
            </w:r>
          </w:p>
        </w:tc>
        <w:tc>
          <w:tcPr>
            <w:tcW w:w="0" w:type="auto"/>
          </w:tcPr>
          <w:p w14:paraId="3A0EE8E6" w14:textId="77777777" w:rsidR="00D43CAB" w:rsidRDefault="00000000">
            <w:pPr>
              <w:pStyle w:val="Compact"/>
            </w:pPr>
            <w:r>
              <w:t>90.8</w:t>
            </w:r>
          </w:p>
        </w:tc>
        <w:tc>
          <w:tcPr>
            <w:tcW w:w="0" w:type="auto"/>
          </w:tcPr>
          <w:p w14:paraId="69099618" w14:textId="77777777" w:rsidR="00D43CAB" w:rsidRDefault="00000000">
            <w:pPr>
              <w:pStyle w:val="Compact"/>
            </w:pPr>
            <w:r>
              <w:t>1.3</w:t>
            </w:r>
          </w:p>
        </w:tc>
        <w:tc>
          <w:tcPr>
            <w:tcW w:w="0" w:type="auto"/>
          </w:tcPr>
          <w:p w14:paraId="2FD00F0E" w14:textId="77777777" w:rsidR="00D43CAB" w:rsidRDefault="00000000">
            <w:pPr>
              <w:pStyle w:val="Compact"/>
            </w:pPr>
            <w:r>
              <w:t>3.2</w:t>
            </w:r>
          </w:p>
        </w:tc>
      </w:tr>
      <w:tr w:rsidR="00D43CAB" w14:paraId="2B1F35A6" w14:textId="77777777">
        <w:tc>
          <w:tcPr>
            <w:tcW w:w="0" w:type="auto"/>
          </w:tcPr>
          <w:p w14:paraId="7C5559A6" w14:textId="77777777" w:rsidR="00D43CAB" w:rsidRDefault="00000000">
            <w:pPr>
              <w:pStyle w:val="Compact"/>
            </w:pPr>
            <w:r>
              <w:t>Үйлдвэрлэл</w:t>
            </w:r>
          </w:p>
        </w:tc>
        <w:tc>
          <w:tcPr>
            <w:tcW w:w="0" w:type="auto"/>
          </w:tcPr>
          <w:p w14:paraId="715D28EB" w14:textId="77777777" w:rsidR="00D43CAB" w:rsidRDefault="00000000">
            <w:pPr>
              <w:pStyle w:val="Compact"/>
            </w:pPr>
            <w:r>
              <w:t>0.3</w:t>
            </w:r>
          </w:p>
        </w:tc>
        <w:tc>
          <w:tcPr>
            <w:tcW w:w="0" w:type="auto"/>
          </w:tcPr>
          <w:p w14:paraId="1DF7A3B4" w14:textId="77777777" w:rsidR="00D43CAB" w:rsidRDefault="00000000">
            <w:pPr>
              <w:pStyle w:val="Compact"/>
            </w:pPr>
            <w:r>
              <w:t>36.0</w:t>
            </w:r>
          </w:p>
        </w:tc>
        <w:tc>
          <w:tcPr>
            <w:tcW w:w="0" w:type="auto"/>
          </w:tcPr>
          <w:p w14:paraId="404FEC42" w14:textId="77777777" w:rsidR="00D43CAB" w:rsidRDefault="00000000">
            <w:pPr>
              <w:pStyle w:val="Compact"/>
            </w:pPr>
            <w:r>
              <w:t>54.3</w:t>
            </w:r>
          </w:p>
        </w:tc>
        <w:tc>
          <w:tcPr>
            <w:tcW w:w="0" w:type="auto"/>
          </w:tcPr>
          <w:p w14:paraId="55277ED6" w14:textId="77777777" w:rsidR="00D43CAB" w:rsidRDefault="00000000">
            <w:pPr>
              <w:pStyle w:val="Compact"/>
            </w:pPr>
            <w:r>
              <w:t>5.0</w:t>
            </w:r>
          </w:p>
        </w:tc>
        <w:tc>
          <w:tcPr>
            <w:tcW w:w="0" w:type="auto"/>
          </w:tcPr>
          <w:p w14:paraId="6739AFEE" w14:textId="77777777" w:rsidR="00D43CAB" w:rsidRDefault="00000000">
            <w:pPr>
              <w:pStyle w:val="Compact"/>
            </w:pPr>
            <w:r>
              <w:t>4.4</w:t>
            </w:r>
          </w:p>
        </w:tc>
      </w:tr>
    </w:tbl>
    <w:p w14:paraId="6759E244" w14:textId="6FF0EBDE" w:rsidR="00D43CAB" w:rsidRDefault="00000000">
      <w:pPr>
        <w:pStyle w:val="BodyText"/>
      </w:pPr>
      <w:r>
        <w:t xml:space="preserve">Тэмдэглэл: Утгууд хойдчилсон дундажаар тооцсон </w:t>
      </w:r>
      <w:r w:rsidR="000C2D96">
        <w:t>нөхцөлт</w:t>
      </w:r>
      <w:r>
        <w:t xml:space="preserve"> бус вариацын задаргаа юм. Гадаад бүлэгт улсын эрсдэлийн шагнал, дэлхийн хүү, гадаад валютын хадгаламжийн нэмэгдүүлэлтийн шок, Банк бүлэгт банкны баланс болон гурван хүүний нэмэгдүүлэлтийн шок, Эрэлт бүлэгт хэрэглээний давуу байдал, орон сууцны эрэлт, хөрөнгө оруулалтын үр ашиг, хоёр зээл-барьцааны харьцааны шок, Нийлүүлэлт бүлэгт технологи, үнэ болон цалингийн нэмэгдүүлэлтийн шок багтана. Бүлэглэлт нь 5.3 хэсгийн түүхэн задаргаатай ижил. Мөр бүрийн нийлбэр зуун хувь бөгөөд бөөрөнхийлөлтөөс шалтгаалан өчүүхэн зөрүү гарч болно.</w:t>
      </w:r>
      <w:bookmarkEnd w:id="0"/>
      <w:bookmarkEnd w:id="4"/>
    </w:p>
    <w:sectPr w:rsidR="00D43CA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9E6E" w14:textId="77777777" w:rsidR="00AD3539" w:rsidRDefault="00AD3539">
      <w:pPr>
        <w:spacing w:after="0"/>
      </w:pPr>
      <w:r>
        <w:separator/>
      </w:r>
    </w:p>
  </w:endnote>
  <w:endnote w:type="continuationSeparator" w:id="0">
    <w:p w14:paraId="1DC18E07" w14:textId="77777777" w:rsidR="00AD3539" w:rsidRDefault="00AD35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4A99" w14:textId="77777777" w:rsidR="00AD3539" w:rsidRDefault="00AD3539">
      <w:r>
        <w:separator/>
      </w:r>
    </w:p>
  </w:footnote>
  <w:footnote w:type="continuationSeparator" w:id="0">
    <w:p w14:paraId="35A66AF8" w14:textId="77777777" w:rsidR="00AD3539" w:rsidRDefault="00AD3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C01E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6569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3CAB"/>
    <w:rsid w:val="000C2D96"/>
    <w:rsid w:val="000E4723"/>
    <w:rsid w:val="0013211B"/>
    <w:rsid w:val="001F33A3"/>
    <w:rsid w:val="002045AA"/>
    <w:rsid w:val="00393138"/>
    <w:rsid w:val="009E46F1"/>
    <w:rsid w:val="00A45654"/>
    <w:rsid w:val="00AD3539"/>
    <w:rsid w:val="00AF59CF"/>
    <w:rsid w:val="00D43CAB"/>
    <w:rsid w:val="00D97B7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2B2FE"/>
  <w15:docId w15:val="{59741466-6FFC-42BE-91F1-8E98210E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3</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10</cp:revision>
  <dcterms:created xsi:type="dcterms:W3CDTF">2026-08-22T16:27:00Z</dcterms:created>
  <dcterms:modified xsi:type="dcterms:W3CDTF">2026-08-22T20:01:00Z</dcterms:modified>
</cp:coreProperties>
</file>