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8FCA4" w14:textId="77777777" w:rsidR="009A6512" w:rsidRDefault="00000000">
      <w:pPr>
        <w:pStyle w:val="Heading1"/>
      </w:pPr>
      <w:bookmarkStart w:id="0" w:name="өгөгдөл"/>
      <w:r>
        <w:t>3 Өгөгдөл</w:t>
      </w:r>
    </w:p>
    <w:p w14:paraId="41D0EABB" w14:textId="041FFFF4" w:rsidR="009A6512" w:rsidRDefault="00A57F90">
      <w:pPr>
        <w:pStyle w:val="FirstParagraph"/>
      </w:pPr>
      <w:r>
        <w:rPr>
          <w:lang w:val="mn-MN"/>
        </w:rPr>
        <w:t xml:space="preserve">Жижиг, нээлттэй эдийн засгийн ДСЕТ-ийн </w:t>
      </w:r>
      <w:r>
        <w:t>загварыг Монголын 2009 оны 1-р улирлаас 2026 оны 1-р улирлыг дуусталх 69 улирлын өгөгдөл дээр үнэлэв. Ажиглагдах хувьсагчийн тоо арван нэг байна. Тэдгээрийн эх сурвалж, хувиргалтыг Хүснэгт 1-д үзүүлэв.</w:t>
      </w:r>
    </w:p>
    <w:p w14:paraId="06C9E8E5" w14:textId="2DCA52C3" w:rsidR="009A6512" w:rsidRDefault="00A57F90">
      <w:pPr>
        <w:pStyle w:val="BodyText"/>
      </w:pPr>
      <w:r>
        <w:t>Түүврийн эхлэх хугацааг өгөгдлийн хүртээмж тодорхойлов. Монголын макро эдийн засаг, санхүүгийн зах зээлийн үзүүлэлтүүдийн ихэнх нь 2000 оны 1-р улирлаас, дотоодын нийт бүтээгдэхүүний зардлын задаргаа 2005 оны 1-р улирлаас эхэлдэг. Харин загварт шаардлагатай төгрөг ба валютын хадгаламжийн хүүгийн цуваа 2009 оны 1-р улирлаас эхлэх тул үнэлгээний түүврийг тэр цэгээс тогтоов.</w:t>
      </w:r>
    </w:p>
    <w:p w14:paraId="0AF84E52" w14:textId="1E7CC239" w:rsidR="009A6512" w:rsidRDefault="00000000">
      <w:pPr>
        <w:pStyle w:val="BodyText"/>
      </w:pPr>
      <w:r>
        <w:t>Сарын давтамжтай цуваануудыг улирлын давтамжид хөрвүүлэхдээ хоёр өөр конвенц баримтал</w:t>
      </w:r>
      <w:r w:rsidR="00A57F90">
        <w:t>лаа</w:t>
      </w:r>
      <w:r>
        <w:t xml:space="preserve">. Хадгаламж, зээлийн үлдэгдлийг улирлын эцсийн утгаар, харин </w:t>
      </w:r>
      <w:r w:rsidR="00A57F90">
        <w:t>ва</w:t>
      </w:r>
      <w:r w:rsidR="004872DA">
        <w:t>лю</w:t>
      </w:r>
      <w:r w:rsidR="00A57F90">
        <w:t xml:space="preserve">тын </w:t>
      </w:r>
      <w:r>
        <w:t>ханш</w:t>
      </w:r>
      <w:r w:rsidR="00A57F90">
        <w:t xml:space="preserve">, </w:t>
      </w:r>
      <w:r>
        <w:t>бүх хүүг улирал доторх сарын дунджаар авав. Энэхүү ялгаа нөөц б</w:t>
      </w:r>
      <w:r w:rsidR="00A57F90">
        <w:t>а</w:t>
      </w:r>
      <w:r>
        <w:t xml:space="preserve"> урсгалын хувьсагчийн шинжээс урган гарна. Нэрлэсэн үзүүлэлтийг хэрэглээний үнийн индекст хуваан бодит болгосны дараа</w:t>
      </w:r>
      <w:r w:rsidR="00A57F90">
        <w:t xml:space="preserve"> </w:t>
      </w:r>
      <w:r>
        <w:t>логарифмын</w:t>
      </w:r>
      <w:r w:rsidR="00A57F90">
        <w:t xml:space="preserve"> нэгдүгээр эрэмбийн</w:t>
      </w:r>
      <w:r>
        <w:t xml:space="preserve"> ялгаврыг авсан бол хүүг жилийн хувиас улирлын цэвэр хэмжигдэхүүн болгохын тулд дөрвөн зууд хуваа</w:t>
      </w:r>
      <w:r w:rsidR="00A57F90">
        <w:t>в</w:t>
      </w:r>
      <w:r>
        <w:t>. Бүх цувааны дунджийг хассан болно.</w:t>
      </w:r>
    </w:p>
    <w:p w14:paraId="72E14AF2" w14:textId="625F3411" w:rsidR="009A6512" w:rsidRDefault="00000000">
      <w:pPr>
        <w:pStyle w:val="BodyText"/>
      </w:pPr>
      <w:r>
        <w:t>Ажиглагдах хувьсагчийн сонголтод хоёр хязгаарлалт тусгагдав. Нэгдүгээрт, загварт өрх болон аж ахуйн нэгжийн зээлийн хүү тусад нь тодорхойлогддог боловч Монголбанкны статистикт зээлийн хүү зээлдэгчийн төрлөөр салгагдаагүй байдаг. Иймд ажиглагдах цуваа болгож нэгдсэн зээлийн хүүг ашиглаж, түүнийг загварын хоёр хүүний тэнцүү жинтэй дунджаар холбов. Хоёрдугаарт, зээл</w:t>
      </w:r>
      <w:r w:rsidR="00A57F90">
        <w:t xml:space="preserve"> ба</w:t>
      </w:r>
      <w:r>
        <w:t xml:space="preserve"> дотоодын хадгаламжийн цуваа зөвхөн төгрөгийн үлдэгдлийг агуулна. Энэ нь загварын бүтэцтэй нийцэх бөгөөд банкны хөрөнгийн тал дотоодын валютаар, өр төлбөрийн талын гадаад валютын хэсэг нь ханшаар дахин үнэлэгдэх гэсэн валютын үл тохирооны загварчлалыг өгөгдлийн талд хадгална.</w:t>
      </w:r>
    </w:p>
    <w:p w14:paraId="480517BB" w14:textId="77777777" w:rsidR="009A6512" w:rsidRDefault="00000000">
      <w:pPr>
        <w:pStyle w:val="BodyText"/>
      </w:pPr>
      <w:r>
        <w:t>Гадаад валютын хадгаламж, гадаад зээлийн тоо хэмжээ, түүнчлэн гадаад валютын хадгаламжийн хүүг ажиглагдах хувьсагчид оруулаагүй болно. Эдгээр цувааг нэмэх оролдлого болон түүний үр дүнг таних боломжийн шинжилгээний хамт 4.3 хэсэгт авч үзнэ.</w:t>
      </w:r>
    </w:p>
    <w:p w14:paraId="066C377B" w14:textId="0402238F" w:rsidR="009A6512" w:rsidRDefault="00000000">
      <w:pPr>
        <w:pStyle w:val="BodyText"/>
      </w:pPr>
      <w:r>
        <w:t xml:space="preserve">Цуваануудад улирлын тохируулга хийгээгүй. Үүнд хоёр үндэслэл бий. Нэгдүгээрт, логарифмын </w:t>
      </w:r>
      <w:r w:rsidR="00A57F90">
        <w:t xml:space="preserve">нэгдүгээр эрэмбийн </w:t>
      </w:r>
      <w:r>
        <w:t>ялгаврын хувиргалт улирлын хэв маягийн ихэнх хэсгийг арилгадаг бөгөөд хүү, ханшийн цуваанд улирлын шинж статистикийн хувьд илрээгүй. Хоёрдугаарт, Монголын хувьд цагаан сар хөдөлгөөнт баяр учир стандарт улирлын тохируулгын алгоритм түүнийг зохицуулж чаддаггүй бөгөөд Үндэсний статистикийн хороо улирлын тохируулга хийсэн цувааг албан ёсоор нийтэлдэггүй. Улирлын тохируулга хийсэн хувилбарыг бат бөх байдлын шинжилгээнд авч үзнэ.</w:t>
      </w:r>
    </w:p>
    <w:p w14:paraId="0099154C" w14:textId="4E21DB3E" w:rsidR="009A6512" w:rsidRDefault="000E0086">
      <w:pPr>
        <w:pStyle w:val="BodyText"/>
      </w:pPr>
      <w:r>
        <w:t>Түүврийн</w:t>
      </w:r>
      <w:r w:rsidR="00000000">
        <w:t xml:space="preserve"> хугацааны хувьд хоёр онцлог тэмдэглэх нь зүйтэй. Нэгдүгээрт, 2014-2016 онд төгрөгийн ханш огцом сулран, банкны системийн санхүүжилтийн нөхцөл эрс </w:t>
      </w:r>
      <w:r w:rsidR="00000000">
        <w:lastRenderedPageBreak/>
        <w:t xml:space="preserve">чангарсан. Хоёрдугаарт, 2020 онд цар тахлын улмаас дотоодын эрэлт хумигдсан хэдий ч ханшийн хөдөлгөөн харьцангуй тогтвортой байв. Гарал үүслийн хувьд ялгаатай эдгээр хоёр үйл явдал загварын задаргааны чадварыг шалгах бодит сорилт болно. Түүнчлэн хадгаламжийн долларжилтын түвшин </w:t>
      </w:r>
      <w:r w:rsidR="00A57F90">
        <w:t>түүврий</w:t>
      </w:r>
      <w:r w:rsidR="00000000">
        <w:t xml:space="preserve">н </w:t>
      </w:r>
      <w:r w:rsidR="00A57F90">
        <w:t>хувьд</w:t>
      </w:r>
      <w:r w:rsidR="00000000">
        <w:t xml:space="preserve"> тавь орчим хувиас гуч орчим хувь хүртэл буурсан нь долларжилтын түвшин ба дамжуулалтын хүчний хамаарлыг таних боломж олгоно.</w:t>
      </w:r>
    </w:p>
    <w:p w14:paraId="0BD2AD26" w14:textId="77777777" w:rsidR="009A6512" w:rsidRDefault="00000000">
      <w:pPr>
        <w:pStyle w:val="BodyText"/>
      </w:pPr>
      <w:r>
        <w:rPr>
          <w:b/>
          <w:bCs/>
        </w:rPr>
        <w:t>Хүснэгт 1.</w:t>
      </w:r>
      <w:r>
        <w:t xml:space="preserve"> Ажиглагдах хувьсагч, эх сурвалж, хувиргалт</w:t>
      </w:r>
    </w:p>
    <w:tbl>
      <w:tblPr>
        <w:tblStyle w:val="Table"/>
        <w:tblW w:w="5000" w:type="pct"/>
        <w:tblLook w:val="0020" w:firstRow="1" w:lastRow="0" w:firstColumn="0" w:lastColumn="0" w:noHBand="0" w:noVBand="0"/>
      </w:tblPr>
      <w:tblGrid>
        <w:gridCol w:w="2041"/>
        <w:gridCol w:w="3774"/>
        <w:gridCol w:w="1568"/>
        <w:gridCol w:w="2193"/>
      </w:tblGrid>
      <w:tr w:rsidR="009A6512" w14:paraId="33847828" w14:textId="77777777" w:rsidTr="009A6512">
        <w:trPr>
          <w:cnfStyle w:val="100000000000" w:firstRow="1" w:lastRow="0" w:firstColumn="0" w:lastColumn="0" w:oddVBand="0" w:evenVBand="0" w:oddHBand="0" w:evenHBand="0" w:firstRowFirstColumn="0" w:firstRowLastColumn="0" w:lastRowFirstColumn="0" w:lastRowLastColumn="0"/>
          <w:tblHeader/>
        </w:trPr>
        <w:tc>
          <w:tcPr>
            <w:tcW w:w="0" w:type="auto"/>
          </w:tcPr>
          <w:p w14:paraId="2C49488C" w14:textId="77777777" w:rsidR="009A6512" w:rsidRDefault="00000000">
            <w:pPr>
              <w:pStyle w:val="Compact"/>
            </w:pPr>
            <w:r>
              <w:t>Ажиглагдах хувьсагч</w:t>
            </w:r>
          </w:p>
        </w:tc>
        <w:tc>
          <w:tcPr>
            <w:tcW w:w="0" w:type="auto"/>
          </w:tcPr>
          <w:p w14:paraId="1270FB9D" w14:textId="77777777" w:rsidR="009A6512" w:rsidRDefault="00000000">
            <w:pPr>
              <w:pStyle w:val="Compact"/>
            </w:pPr>
            <w:r>
              <w:t>Цуваа</w:t>
            </w:r>
          </w:p>
        </w:tc>
        <w:tc>
          <w:tcPr>
            <w:tcW w:w="0" w:type="auto"/>
          </w:tcPr>
          <w:p w14:paraId="13718294" w14:textId="77777777" w:rsidR="009A6512" w:rsidRDefault="00000000">
            <w:pPr>
              <w:pStyle w:val="Compact"/>
            </w:pPr>
            <w:r>
              <w:t>Эх сурвалж</w:t>
            </w:r>
          </w:p>
        </w:tc>
        <w:tc>
          <w:tcPr>
            <w:tcW w:w="0" w:type="auto"/>
          </w:tcPr>
          <w:p w14:paraId="04AB1D02" w14:textId="77777777" w:rsidR="009A6512" w:rsidRDefault="00000000">
            <w:pPr>
              <w:pStyle w:val="Compact"/>
            </w:pPr>
            <w:r>
              <w:t>Хувиргалт</w:t>
            </w:r>
          </w:p>
        </w:tc>
      </w:tr>
      <w:tr w:rsidR="009A6512" w14:paraId="396BE9E0" w14:textId="77777777">
        <w:tc>
          <w:tcPr>
            <w:tcW w:w="0" w:type="auto"/>
          </w:tcPr>
          <w:p w14:paraId="7C026EFB" w14:textId="77777777" w:rsidR="009A6512" w:rsidRDefault="00000000">
            <w:pPr>
              <w:pStyle w:val="Compact"/>
            </w:pPr>
            <w:r>
              <w:t>Хэрэглээ</w:t>
            </w:r>
          </w:p>
        </w:tc>
        <w:tc>
          <w:tcPr>
            <w:tcW w:w="0" w:type="auto"/>
          </w:tcPr>
          <w:p w14:paraId="04689094" w14:textId="77777777" w:rsidR="009A6512" w:rsidRDefault="00000000">
            <w:pPr>
              <w:pStyle w:val="Compact"/>
            </w:pPr>
            <w:r>
              <w:t>Бодит хэрэглээ, 2015 оны зэрэгцүүлэх үнээр</w:t>
            </w:r>
          </w:p>
        </w:tc>
        <w:tc>
          <w:tcPr>
            <w:tcW w:w="0" w:type="auto"/>
          </w:tcPr>
          <w:p w14:paraId="3A7F4386" w14:textId="77777777" w:rsidR="009A6512" w:rsidRDefault="00000000">
            <w:pPr>
              <w:pStyle w:val="Compact"/>
            </w:pPr>
            <w:r>
              <w:t>ҮСХ</w:t>
            </w:r>
          </w:p>
        </w:tc>
        <w:tc>
          <w:tcPr>
            <w:tcW w:w="0" w:type="auto"/>
          </w:tcPr>
          <w:p w14:paraId="3F4E49A4" w14:textId="77777777" w:rsidR="009A6512" w:rsidRDefault="00000000">
            <w:pPr>
              <w:pStyle w:val="Compact"/>
            </w:pPr>
            <w:r>
              <w:t>Δlog, дундаж хассан</w:t>
            </w:r>
          </w:p>
        </w:tc>
      </w:tr>
      <w:tr w:rsidR="009A6512" w14:paraId="6CCB747D" w14:textId="77777777">
        <w:tc>
          <w:tcPr>
            <w:tcW w:w="0" w:type="auto"/>
          </w:tcPr>
          <w:p w14:paraId="7BF81348" w14:textId="77777777" w:rsidR="009A6512" w:rsidRDefault="00000000">
            <w:pPr>
              <w:pStyle w:val="Compact"/>
            </w:pPr>
            <w:r>
              <w:t>Хөрөнгө оруулалт</w:t>
            </w:r>
          </w:p>
        </w:tc>
        <w:tc>
          <w:tcPr>
            <w:tcW w:w="0" w:type="auto"/>
          </w:tcPr>
          <w:p w14:paraId="7708BA59" w14:textId="77777777" w:rsidR="009A6512" w:rsidRDefault="00000000">
            <w:pPr>
              <w:pStyle w:val="Compact"/>
            </w:pPr>
            <w:r>
              <w:t>Үндсэн хөрөнгийн хуримтлал, 2015 оны зэрэгцүүлэх үнээр</w:t>
            </w:r>
          </w:p>
        </w:tc>
        <w:tc>
          <w:tcPr>
            <w:tcW w:w="0" w:type="auto"/>
          </w:tcPr>
          <w:p w14:paraId="24E1D8A7" w14:textId="77777777" w:rsidR="009A6512" w:rsidRDefault="00000000">
            <w:pPr>
              <w:pStyle w:val="Compact"/>
            </w:pPr>
            <w:r>
              <w:t>ҮСХ</w:t>
            </w:r>
          </w:p>
        </w:tc>
        <w:tc>
          <w:tcPr>
            <w:tcW w:w="0" w:type="auto"/>
          </w:tcPr>
          <w:p w14:paraId="07413CF0" w14:textId="77777777" w:rsidR="009A6512" w:rsidRDefault="00000000">
            <w:pPr>
              <w:pStyle w:val="Compact"/>
            </w:pPr>
            <w:r>
              <w:t>Δlog, дундаж хассан</w:t>
            </w:r>
          </w:p>
        </w:tc>
      </w:tr>
      <w:tr w:rsidR="009A6512" w14:paraId="2220644E" w14:textId="77777777">
        <w:tc>
          <w:tcPr>
            <w:tcW w:w="0" w:type="auto"/>
          </w:tcPr>
          <w:p w14:paraId="5440CD2E" w14:textId="77777777" w:rsidR="009A6512" w:rsidRDefault="00000000">
            <w:pPr>
              <w:pStyle w:val="Compact"/>
            </w:pPr>
            <w:r>
              <w:t>Хадгаламж</w:t>
            </w:r>
          </w:p>
        </w:tc>
        <w:tc>
          <w:tcPr>
            <w:tcW w:w="0" w:type="auto"/>
          </w:tcPr>
          <w:p w14:paraId="550C3B98" w14:textId="77777777" w:rsidR="009A6512" w:rsidRDefault="00000000">
            <w:pPr>
              <w:pStyle w:val="Compact"/>
            </w:pPr>
            <w:r>
              <w:t>Төгрөгийн хадгаламжийн үлдэгдэл, нэрлэсэн, улирлын эцэст</w:t>
            </w:r>
          </w:p>
        </w:tc>
        <w:tc>
          <w:tcPr>
            <w:tcW w:w="0" w:type="auto"/>
          </w:tcPr>
          <w:p w14:paraId="515726E9" w14:textId="77777777" w:rsidR="009A6512" w:rsidRDefault="00000000">
            <w:pPr>
              <w:pStyle w:val="Compact"/>
            </w:pPr>
            <w:r>
              <w:t>Монголбанк</w:t>
            </w:r>
          </w:p>
        </w:tc>
        <w:tc>
          <w:tcPr>
            <w:tcW w:w="0" w:type="auto"/>
          </w:tcPr>
          <w:p w14:paraId="177C99AE" w14:textId="6FD59C00" w:rsidR="009A6512" w:rsidRDefault="00A34F4A">
            <w:pPr>
              <w:pStyle w:val="Compact"/>
            </w:pPr>
            <w:r>
              <w:t>Х</w:t>
            </w:r>
            <w:r w:rsidR="00000000">
              <w:t>ҮИ-д хуваасан, Δlog, дундаж хассан</w:t>
            </w:r>
          </w:p>
        </w:tc>
      </w:tr>
      <w:tr w:rsidR="009A6512" w14:paraId="4036252F" w14:textId="77777777">
        <w:tc>
          <w:tcPr>
            <w:tcW w:w="0" w:type="auto"/>
          </w:tcPr>
          <w:p w14:paraId="4FB4D1BC" w14:textId="77777777" w:rsidR="009A6512" w:rsidRDefault="00000000">
            <w:pPr>
              <w:pStyle w:val="Compact"/>
            </w:pPr>
            <w:r>
              <w:t>Өрхийн зээл</w:t>
            </w:r>
          </w:p>
        </w:tc>
        <w:tc>
          <w:tcPr>
            <w:tcW w:w="0" w:type="auto"/>
          </w:tcPr>
          <w:p w14:paraId="66DF0B7C" w14:textId="77777777" w:rsidR="009A6512" w:rsidRDefault="00000000">
            <w:pPr>
              <w:pStyle w:val="Compact"/>
            </w:pPr>
            <w:r>
              <w:t>Өрхийн зээлийн үлдэгдэл, төгрөгөөр, нэрлэсэн, улирлын эцэст</w:t>
            </w:r>
          </w:p>
        </w:tc>
        <w:tc>
          <w:tcPr>
            <w:tcW w:w="0" w:type="auto"/>
          </w:tcPr>
          <w:p w14:paraId="15C88D5C" w14:textId="77777777" w:rsidR="009A6512" w:rsidRDefault="00000000">
            <w:pPr>
              <w:pStyle w:val="Compact"/>
            </w:pPr>
            <w:r>
              <w:t>Монголбанк</w:t>
            </w:r>
          </w:p>
        </w:tc>
        <w:tc>
          <w:tcPr>
            <w:tcW w:w="0" w:type="auto"/>
          </w:tcPr>
          <w:p w14:paraId="49E3B8D2" w14:textId="0F04C5C0" w:rsidR="009A6512" w:rsidRDefault="00A34F4A">
            <w:pPr>
              <w:pStyle w:val="Compact"/>
            </w:pPr>
            <w:r>
              <w:t>Х</w:t>
            </w:r>
            <w:r w:rsidR="00000000">
              <w:t>ҮИ-д хуваасан, Δlog, дундаж хассан</w:t>
            </w:r>
          </w:p>
        </w:tc>
      </w:tr>
      <w:tr w:rsidR="009A6512" w14:paraId="5DC85B9F" w14:textId="77777777">
        <w:tc>
          <w:tcPr>
            <w:tcW w:w="0" w:type="auto"/>
          </w:tcPr>
          <w:p w14:paraId="783D4E31" w14:textId="77777777" w:rsidR="009A6512" w:rsidRDefault="00000000">
            <w:pPr>
              <w:pStyle w:val="Compact"/>
            </w:pPr>
            <w:r>
              <w:t>ААН-ийн зээл</w:t>
            </w:r>
          </w:p>
        </w:tc>
        <w:tc>
          <w:tcPr>
            <w:tcW w:w="0" w:type="auto"/>
          </w:tcPr>
          <w:p w14:paraId="62EDB100" w14:textId="77777777" w:rsidR="009A6512" w:rsidRDefault="00000000">
            <w:pPr>
              <w:pStyle w:val="Compact"/>
            </w:pPr>
            <w:r>
              <w:t>Аж ахуйн нэгжийн зээлийн үлдэгдэл, төгрөгөөр, нэрлэсэн, улирлын эцэст</w:t>
            </w:r>
          </w:p>
        </w:tc>
        <w:tc>
          <w:tcPr>
            <w:tcW w:w="0" w:type="auto"/>
          </w:tcPr>
          <w:p w14:paraId="53AC28F0" w14:textId="77777777" w:rsidR="009A6512" w:rsidRDefault="00000000">
            <w:pPr>
              <w:pStyle w:val="Compact"/>
            </w:pPr>
            <w:r>
              <w:t>Монголбанк</w:t>
            </w:r>
          </w:p>
        </w:tc>
        <w:tc>
          <w:tcPr>
            <w:tcW w:w="0" w:type="auto"/>
          </w:tcPr>
          <w:p w14:paraId="0EAB5429" w14:textId="452321D4" w:rsidR="009A6512" w:rsidRDefault="00A34F4A">
            <w:pPr>
              <w:pStyle w:val="Compact"/>
            </w:pPr>
            <w:r>
              <w:t>Х</w:t>
            </w:r>
            <w:r w:rsidR="00000000">
              <w:t>ҮИ-д хуваасан, Δlog, дундаж хассан</w:t>
            </w:r>
          </w:p>
        </w:tc>
      </w:tr>
      <w:tr w:rsidR="009A6512" w14:paraId="67429FE3" w14:textId="77777777">
        <w:tc>
          <w:tcPr>
            <w:tcW w:w="0" w:type="auto"/>
          </w:tcPr>
          <w:p w14:paraId="6A6FBB79" w14:textId="77777777" w:rsidR="009A6512" w:rsidRDefault="00000000">
            <w:pPr>
              <w:pStyle w:val="Compact"/>
            </w:pPr>
            <w:r>
              <w:t>Инфляц</w:t>
            </w:r>
          </w:p>
        </w:tc>
        <w:tc>
          <w:tcPr>
            <w:tcW w:w="0" w:type="auto"/>
          </w:tcPr>
          <w:p w14:paraId="5B78138E" w14:textId="4006D4C6" w:rsidR="009A6512" w:rsidRDefault="00000000">
            <w:pPr>
              <w:pStyle w:val="Compact"/>
            </w:pPr>
            <w:r>
              <w:t>Хэрэглээний үнийн индекс</w:t>
            </w:r>
            <w:r w:rsidR="00A34F4A">
              <w:t xml:space="preserve"> (</w:t>
            </w:r>
            <w:r w:rsidR="00A34F4A">
              <w:rPr>
                <w:lang w:val="mn-MN"/>
              </w:rPr>
              <w:t>ХҮИ</w:t>
            </w:r>
            <w:r w:rsidR="00A34F4A">
              <w:t>)</w:t>
            </w:r>
            <w:r>
              <w:t>, 2020=100</w:t>
            </w:r>
          </w:p>
        </w:tc>
        <w:tc>
          <w:tcPr>
            <w:tcW w:w="0" w:type="auto"/>
          </w:tcPr>
          <w:p w14:paraId="28931F6E" w14:textId="77777777" w:rsidR="009A6512" w:rsidRDefault="00000000">
            <w:pPr>
              <w:pStyle w:val="Compact"/>
            </w:pPr>
            <w:r>
              <w:t>ҮСХ</w:t>
            </w:r>
          </w:p>
        </w:tc>
        <w:tc>
          <w:tcPr>
            <w:tcW w:w="0" w:type="auto"/>
          </w:tcPr>
          <w:p w14:paraId="2F298791" w14:textId="77777777" w:rsidR="009A6512" w:rsidRDefault="00000000">
            <w:pPr>
              <w:pStyle w:val="Compact"/>
            </w:pPr>
            <w:r>
              <w:t>Δlog, дундаж хассан</w:t>
            </w:r>
          </w:p>
        </w:tc>
      </w:tr>
      <w:tr w:rsidR="009A6512" w14:paraId="4058590A" w14:textId="77777777">
        <w:tc>
          <w:tcPr>
            <w:tcW w:w="0" w:type="auto"/>
          </w:tcPr>
          <w:p w14:paraId="01FCBBFC" w14:textId="77777777" w:rsidR="009A6512" w:rsidRDefault="00000000">
            <w:pPr>
              <w:pStyle w:val="Compact"/>
            </w:pPr>
            <w:r>
              <w:t>Бодлогын хүү</w:t>
            </w:r>
          </w:p>
        </w:tc>
        <w:tc>
          <w:tcPr>
            <w:tcW w:w="0" w:type="auto"/>
          </w:tcPr>
          <w:p w14:paraId="57C450F7" w14:textId="77777777" w:rsidR="009A6512" w:rsidRDefault="00000000">
            <w:pPr>
              <w:pStyle w:val="Compact"/>
            </w:pPr>
            <w:r>
              <w:t>Бодлогын хүү, жилийн хувиар, сарын дундаж</w:t>
            </w:r>
          </w:p>
        </w:tc>
        <w:tc>
          <w:tcPr>
            <w:tcW w:w="0" w:type="auto"/>
          </w:tcPr>
          <w:p w14:paraId="21630A32" w14:textId="77777777" w:rsidR="009A6512" w:rsidRDefault="00000000">
            <w:pPr>
              <w:pStyle w:val="Compact"/>
            </w:pPr>
            <w:r>
              <w:t>Монголбанк</w:t>
            </w:r>
          </w:p>
        </w:tc>
        <w:tc>
          <w:tcPr>
            <w:tcW w:w="0" w:type="auto"/>
          </w:tcPr>
          <w:p w14:paraId="6F8AF14F" w14:textId="77777777" w:rsidR="009A6512" w:rsidRDefault="00000000">
            <w:pPr>
              <w:pStyle w:val="Compact"/>
            </w:pPr>
            <w:r>
              <w:t>400-д хуваасан, дундаж хассан</w:t>
            </w:r>
          </w:p>
        </w:tc>
      </w:tr>
      <w:tr w:rsidR="009A6512" w14:paraId="71E5DF29" w14:textId="77777777">
        <w:tc>
          <w:tcPr>
            <w:tcW w:w="0" w:type="auto"/>
          </w:tcPr>
          <w:p w14:paraId="185C997F" w14:textId="77777777" w:rsidR="009A6512" w:rsidRDefault="00000000">
            <w:pPr>
              <w:pStyle w:val="Compact"/>
            </w:pPr>
            <w:r>
              <w:t>Хадгаламжийн хүү</w:t>
            </w:r>
          </w:p>
        </w:tc>
        <w:tc>
          <w:tcPr>
            <w:tcW w:w="0" w:type="auto"/>
          </w:tcPr>
          <w:p w14:paraId="33794DD7" w14:textId="77777777" w:rsidR="009A6512" w:rsidRDefault="00000000">
            <w:pPr>
              <w:pStyle w:val="Compact"/>
            </w:pPr>
            <w:r>
              <w:t>Төгрөгийн хадгаламжийн хүү, жилийн хувиар, сарын дундаж</w:t>
            </w:r>
          </w:p>
        </w:tc>
        <w:tc>
          <w:tcPr>
            <w:tcW w:w="0" w:type="auto"/>
          </w:tcPr>
          <w:p w14:paraId="4FAC0D7E" w14:textId="77777777" w:rsidR="009A6512" w:rsidRDefault="00000000">
            <w:pPr>
              <w:pStyle w:val="Compact"/>
            </w:pPr>
            <w:r>
              <w:t>Монголбанк</w:t>
            </w:r>
          </w:p>
        </w:tc>
        <w:tc>
          <w:tcPr>
            <w:tcW w:w="0" w:type="auto"/>
          </w:tcPr>
          <w:p w14:paraId="168E7331" w14:textId="77777777" w:rsidR="009A6512" w:rsidRDefault="00000000">
            <w:pPr>
              <w:pStyle w:val="Compact"/>
            </w:pPr>
            <w:r>
              <w:t>400-д хуваасан, дундаж хассан</w:t>
            </w:r>
          </w:p>
        </w:tc>
      </w:tr>
      <w:tr w:rsidR="009A6512" w14:paraId="341B5920" w14:textId="77777777">
        <w:tc>
          <w:tcPr>
            <w:tcW w:w="0" w:type="auto"/>
          </w:tcPr>
          <w:p w14:paraId="1AAF2939" w14:textId="77777777" w:rsidR="009A6512" w:rsidRDefault="00000000">
            <w:pPr>
              <w:pStyle w:val="Compact"/>
            </w:pPr>
            <w:r>
              <w:t>Зээлийн хүү</w:t>
            </w:r>
          </w:p>
        </w:tc>
        <w:tc>
          <w:tcPr>
            <w:tcW w:w="0" w:type="auto"/>
          </w:tcPr>
          <w:p w14:paraId="4CCD36F7" w14:textId="77777777" w:rsidR="009A6512" w:rsidRDefault="00000000">
            <w:pPr>
              <w:pStyle w:val="Compact"/>
            </w:pPr>
            <w:r>
              <w:t>Зээлийн жигнэсэн дундаж хүү, жилийн хувиар, сарын дундаж</w:t>
            </w:r>
          </w:p>
        </w:tc>
        <w:tc>
          <w:tcPr>
            <w:tcW w:w="0" w:type="auto"/>
          </w:tcPr>
          <w:p w14:paraId="77C2719A" w14:textId="77777777" w:rsidR="009A6512" w:rsidRDefault="00000000">
            <w:pPr>
              <w:pStyle w:val="Compact"/>
            </w:pPr>
            <w:r>
              <w:t>Монголбанк</w:t>
            </w:r>
          </w:p>
        </w:tc>
        <w:tc>
          <w:tcPr>
            <w:tcW w:w="0" w:type="auto"/>
          </w:tcPr>
          <w:p w14:paraId="798D12E8" w14:textId="77777777" w:rsidR="009A6512" w:rsidRDefault="00000000">
            <w:pPr>
              <w:pStyle w:val="Compact"/>
            </w:pPr>
            <w:r>
              <w:t>400-д хуваасан, дундаж хассан</w:t>
            </w:r>
          </w:p>
        </w:tc>
      </w:tr>
      <w:tr w:rsidR="009A6512" w14:paraId="2BE8A209" w14:textId="77777777">
        <w:tc>
          <w:tcPr>
            <w:tcW w:w="0" w:type="auto"/>
          </w:tcPr>
          <w:p w14:paraId="1836EA6F" w14:textId="0B17EAD0" w:rsidR="009A6512" w:rsidRDefault="00A57F90">
            <w:pPr>
              <w:pStyle w:val="Compact"/>
            </w:pPr>
            <w:r>
              <w:t>Валютын ханш</w:t>
            </w:r>
          </w:p>
        </w:tc>
        <w:tc>
          <w:tcPr>
            <w:tcW w:w="0" w:type="auto"/>
          </w:tcPr>
          <w:p w14:paraId="0DCC5495" w14:textId="77777777" w:rsidR="009A6512" w:rsidRDefault="00000000">
            <w:pPr>
              <w:pStyle w:val="Compact"/>
            </w:pPr>
            <w:r>
              <w:t>Төгрөг ам.долларын ханш, сарын дундаж</w:t>
            </w:r>
          </w:p>
        </w:tc>
        <w:tc>
          <w:tcPr>
            <w:tcW w:w="0" w:type="auto"/>
          </w:tcPr>
          <w:p w14:paraId="72D58AB4" w14:textId="77777777" w:rsidR="009A6512" w:rsidRDefault="00000000">
            <w:pPr>
              <w:pStyle w:val="Compact"/>
            </w:pPr>
            <w:r>
              <w:t>Монголбанк</w:t>
            </w:r>
          </w:p>
        </w:tc>
        <w:tc>
          <w:tcPr>
            <w:tcW w:w="0" w:type="auto"/>
          </w:tcPr>
          <w:p w14:paraId="05370C89" w14:textId="77777777" w:rsidR="009A6512" w:rsidRDefault="00000000">
            <w:pPr>
              <w:pStyle w:val="Compact"/>
            </w:pPr>
            <w:r>
              <w:t>Δlog, дундаж хассан</w:t>
            </w:r>
          </w:p>
        </w:tc>
      </w:tr>
      <w:tr w:rsidR="009A6512" w14:paraId="5819E0DB" w14:textId="77777777">
        <w:tc>
          <w:tcPr>
            <w:tcW w:w="0" w:type="auto"/>
          </w:tcPr>
          <w:p w14:paraId="169D0AF0" w14:textId="77777777" w:rsidR="009A6512" w:rsidRDefault="00000000">
            <w:pPr>
              <w:pStyle w:val="Compact"/>
            </w:pPr>
            <w:r>
              <w:t>Дэлхийн хүү</w:t>
            </w:r>
          </w:p>
        </w:tc>
        <w:tc>
          <w:tcPr>
            <w:tcW w:w="0" w:type="auto"/>
          </w:tcPr>
          <w:p w14:paraId="21B96099" w14:textId="77777777" w:rsidR="009A6512" w:rsidRDefault="00000000">
            <w:pPr>
              <w:pStyle w:val="Compact"/>
            </w:pPr>
            <w:r>
              <w:t>АНУ-ын гурван сарын төрийн сангийн бондын хүү, сарын дундаж</w:t>
            </w:r>
          </w:p>
        </w:tc>
        <w:tc>
          <w:tcPr>
            <w:tcW w:w="0" w:type="auto"/>
          </w:tcPr>
          <w:p w14:paraId="5FBB8507" w14:textId="77777777" w:rsidR="009A6512" w:rsidRDefault="00000000">
            <w:pPr>
              <w:pStyle w:val="Compact"/>
            </w:pPr>
            <w:r>
              <w:t>FRED</w:t>
            </w:r>
          </w:p>
        </w:tc>
        <w:tc>
          <w:tcPr>
            <w:tcW w:w="0" w:type="auto"/>
          </w:tcPr>
          <w:p w14:paraId="37EB4745" w14:textId="77777777" w:rsidR="009A6512" w:rsidRDefault="00000000">
            <w:pPr>
              <w:pStyle w:val="Compact"/>
            </w:pPr>
            <w:r>
              <w:t>400-д хуваасан, дундаж хассан</w:t>
            </w:r>
          </w:p>
        </w:tc>
      </w:tr>
    </w:tbl>
    <w:p w14:paraId="73D413A3" w14:textId="5485EACE" w:rsidR="009A6512" w:rsidRDefault="00000000">
      <w:pPr>
        <w:pStyle w:val="BodyText"/>
      </w:pPr>
      <w:r>
        <w:t xml:space="preserve">Тэмдэглэл: ҮСХ </w:t>
      </w:r>
      <w:r w:rsidR="00914C2D">
        <w:t xml:space="preserve">- </w:t>
      </w:r>
      <w:r>
        <w:t xml:space="preserve">Үндэсний статистикийн хороо, FRED </w:t>
      </w:r>
      <w:r w:rsidR="00914C2D">
        <w:t xml:space="preserve">- </w:t>
      </w:r>
      <w:r>
        <w:t>Холбооны нөөцийн системийн мэдээллийн сан</w:t>
      </w:r>
      <w:r w:rsidR="00914C2D">
        <w:t>,</w:t>
      </w:r>
      <w:r>
        <w:t xml:space="preserve"> Δlog </w:t>
      </w:r>
      <w:r w:rsidR="00914C2D">
        <w:t>-</w:t>
      </w:r>
      <w:r>
        <w:t xml:space="preserve"> логарифмын </w:t>
      </w:r>
      <w:r w:rsidR="00914C2D">
        <w:t>нэгдүгээр эрэмбийн</w:t>
      </w:r>
      <w:r>
        <w:t xml:space="preserve"> ялгаврыг </w:t>
      </w:r>
      <w:r w:rsidR="00914C2D">
        <w:t xml:space="preserve">тус тус </w:t>
      </w:r>
      <w:r>
        <w:t>илэрхийлнэ.</w:t>
      </w:r>
      <w:bookmarkEnd w:id="0"/>
    </w:p>
    <w:sectPr w:rsidR="009A65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D69C7" w14:textId="77777777" w:rsidR="005638A7" w:rsidRDefault="005638A7">
      <w:pPr>
        <w:spacing w:after="0"/>
      </w:pPr>
      <w:r>
        <w:separator/>
      </w:r>
    </w:p>
  </w:endnote>
  <w:endnote w:type="continuationSeparator" w:id="0">
    <w:p w14:paraId="50820BCA" w14:textId="77777777" w:rsidR="005638A7" w:rsidRDefault="005638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98DA6" w14:textId="77777777" w:rsidR="005638A7" w:rsidRDefault="005638A7">
      <w:r>
        <w:separator/>
      </w:r>
    </w:p>
  </w:footnote>
  <w:footnote w:type="continuationSeparator" w:id="0">
    <w:p w14:paraId="60C17468" w14:textId="77777777" w:rsidR="005638A7" w:rsidRDefault="005638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18CC4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17997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6512"/>
    <w:rsid w:val="00010FAE"/>
    <w:rsid w:val="000E0086"/>
    <w:rsid w:val="004872DA"/>
    <w:rsid w:val="00505A02"/>
    <w:rsid w:val="00532630"/>
    <w:rsid w:val="005638A7"/>
    <w:rsid w:val="00914C2D"/>
    <w:rsid w:val="009A6512"/>
    <w:rsid w:val="00A34F4A"/>
    <w:rsid w:val="00A57F90"/>
    <w:rsid w:val="00BD0D08"/>
    <w:rsid w:val="00D90B8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5BB10"/>
  <w15:docId w15:val="{98D6A4E6-C497-49EC-B0CE-37464C41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GB"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000000"/>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hAnsi="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2"/>
    </w:rPr>
  </w:style>
  <w:style w:type="character" w:customStyle="1" w:styleId="DataTypeTok">
    <w:name w:val="DataTypeTok"/>
    <w:basedOn w:val="VerbatimChar"/>
    <w:rPr>
      <w:rFonts w:ascii="Times New Roman" w:hAnsi="Times New Roman"/>
      <w:color w:val="902000"/>
      <w:sz w:val="22"/>
    </w:rPr>
  </w:style>
  <w:style w:type="character" w:customStyle="1" w:styleId="DecValTok">
    <w:name w:val="DecValTok"/>
    <w:basedOn w:val="VerbatimChar"/>
    <w:rPr>
      <w:rFonts w:ascii="Times New Roman" w:hAnsi="Times New Roman"/>
      <w:color w:val="40A070"/>
      <w:sz w:val="22"/>
    </w:rPr>
  </w:style>
  <w:style w:type="character" w:customStyle="1" w:styleId="BaseNTok">
    <w:name w:val="BaseNTok"/>
    <w:basedOn w:val="VerbatimChar"/>
    <w:rPr>
      <w:rFonts w:ascii="Times New Roman" w:hAnsi="Times New Roman"/>
      <w:color w:val="40A070"/>
      <w:sz w:val="22"/>
    </w:rPr>
  </w:style>
  <w:style w:type="character" w:customStyle="1" w:styleId="FloatTok">
    <w:name w:val="FloatTok"/>
    <w:basedOn w:val="VerbatimChar"/>
    <w:rPr>
      <w:rFonts w:ascii="Times New Roman" w:hAnsi="Times New Roman"/>
      <w:color w:val="40A070"/>
      <w:sz w:val="22"/>
    </w:rPr>
  </w:style>
  <w:style w:type="character" w:customStyle="1" w:styleId="ConstantTok">
    <w:name w:val="ConstantTok"/>
    <w:basedOn w:val="VerbatimChar"/>
    <w:rPr>
      <w:rFonts w:ascii="Times New Roman" w:hAnsi="Times New Roman"/>
      <w:color w:val="880000"/>
      <w:sz w:val="22"/>
    </w:rPr>
  </w:style>
  <w:style w:type="character" w:customStyle="1" w:styleId="CharTok">
    <w:name w:val="CharTok"/>
    <w:basedOn w:val="VerbatimChar"/>
    <w:rPr>
      <w:rFonts w:ascii="Times New Roman" w:hAnsi="Times New Roman"/>
      <w:color w:val="4070A0"/>
      <w:sz w:val="22"/>
    </w:rPr>
  </w:style>
  <w:style w:type="character" w:customStyle="1" w:styleId="SpecialCharTok">
    <w:name w:val="SpecialCharTok"/>
    <w:basedOn w:val="VerbatimChar"/>
    <w:rPr>
      <w:rFonts w:ascii="Times New Roman" w:hAnsi="Times New Roman"/>
      <w:color w:val="4070A0"/>
      <w:sz w:val="22"/>
    </w:rPr>
  </w:style>
  <w:style w:type="character" w:customStyle="1" w:styleId="StringTok">
    <w:name w:val="StringTok"/>
    <w:basedOn w:val="VerbatimChar"/>
    <w:rPr>
      <w:rFonts w:ascii="Times New Roman" w:hAnsi="Times New Roman"/>
      <w:color w:val="4070A0"/>
      <w:sz w:val="22"/>
    </w:rPr>
  </w:style>
  <w:style w:type="character" w:customStyle="1" w:styleId="VerbatimStringTok">
    <w:name w:val="VerbatimStringTok"/>
    <w:basedOn w:val="VerbatimChar"/>
    <w:rPr>
      <w:rFonts w:ascii="Times New Roman" w:hAnsi="Times New Roman"/>
      <w:color w:val="4070A0"/>
      <w:sz w:val="22"/>
    </w:rPr>
  </w:style>
  <w:style w:type="character" w:customStyle="1" w:styleId="SpecialStringTok">
    <w:name w:val="SpecialStringTok"/>
    <w:basedOn w:val="VerbatimChar"/>
    <w:rPr>
      <w:rFonts w:ascii="Times New Roman" w:hAnsi="Times New Roman"/>
      <w:color w:val="BB6688"/>
      <w:sz w:val="22"/>
    </w:rPr>
  </w:style>
  <w:style w:type="character" w:customStyle="1" w:styleId="ImportTok">
    <w:name w:val="ImportTok"/>
    <w:basedOn w:val="VerbatimChar"/>
    <w:rPr>
      <w:rFonts w:ascii="Times New Roman" w:hAnsi="Times New Roman"/>
      <w:b/>
      <w:color w:val="008000"/>
      <w:sz w:val="22"/>
    </w:rPr>
  </w:style>
  <w:style w:type="character" w:customStyle="1" w:styleId="CommentTok">
    <w:name w:val="CommentTok"/>
    <w:basedOn w:val="VerbatimChar"/>
    <w:rPr>
      <w:rFonts w:ascii="Times New Roman" w:hAnsi="Times New Roman"/>
      <w:i/>
      <w:color w:val="60A0B0"/>
      <w:sz w:val="22"/>
    </w:rPr>
  </w:style>
  <w:style w:type="character" w:customStyle="1" w:styleId="DocumentationTok">
    <w:name w:val="DocumentationTok"/>
    <w:basedOn w:val="VerbatimChar"/>
    <w:rPr>
      <w:rFonts w:ascii="Times New Roman" w:hAnsi="Times New Roman"/>
      <w:i/>
      <w:color w:val="BA2121"/>
      <w:sz w:val="22"/>
    </w:rPr>
  </w:style>
  <w:style w:type="character" w:customStyle="1" w:styleId="AnnotationTok">
    <w:name w:val="AnnotationTok"/>
    <w:basedOn w:val="VerbatimChar"/>
    <w:rPr>
      <w:rFonts w:ascii="Times New Roman" w:hAnsi="Times New Roman"/>
      <w:b/>
      <w:i/>
      <w:color w:val="60A0B0"/>
      <w:sz w:val="22"/>
    </w:rPr>
  </w:style>
  <w:style w:type="character" w:customStyle="1" w:styleId="CommentVarTok">
    <w:name w:val="CommentVarTok"/>
    <w:basedOn w:val="VerbatimChar"/>
    <w:rPr>
      <w:rFonts w:ascii="Times New Roman" w:hAnsi="Times New Roman"/>
      <w:b/>
      <w:i/>
      <w:color w:val="60A0B0"/>
      <w:sz w:val="22"/>
    </w:rPr>
  </w:style>
  <w:style w:type="character" w:customStyle="1" w:styleId="OtherTok">
    <w:name w:val="OtherTok"/>
    <w:basedOn w:val="VerbatimChar"/>
    <w:rPr>
      <w:rFonts w:ascii="Times New Roman" w:hAnsi="Times New Roman"/>
      <w:color w:val="007020"/>
      <w:sz w:val="22"/>
    </w:rPr>
  </w:style>
  <w:style w:type="character" w:customStyle="1" w:styleId="FunctionTok">
    <w:name w:val="FunctionTok"/>
    <w:basedOn w:val="VerbatimChar"/>
    <w:rPr>
      <w:rFonts w:ascii="Times New Roman" w:hAnsi="Times New Roman"/>
      <w:color w:val="06287E"/>
      <w:sz w:val="22"/>
    </w:rPr>
  </w:style>
  <w:style w:type="character" w:customStyle="1" w:styleId="VariableTok">
    <w:name w:val="VariableTok"/>
    <w:basedOn w:val="VerbatimChar"/>
    <w:rPr>
      <w:rFonts w:ascii="Times New Roman" w:hAnsi="Times New Roman"/>
      <w:color w:val="19177C"/>
      <w:sz w:val="22"/>
    </w:rPr>
  </w:style>
  <w:style w:type="character" w:customStyle="1" w:styleId="ControlFlowTok">
    <w:name w:val="ControlFlowTok"/>
    <w:basedOn w:val="VerbatimChar"/>
    <w:rPr>
      <w:rFonts w:ascii="Times New Roman" w:hAnsi="Times New Roman"/>
      <w:b/>
      <w:color w:val="007020"/>
      <w:sz w:val="22"/>
    </w:rPr>
  </w:style>
  <w:style w:type="character" w:customStyle="1" w:styleId="OperatorTok">
    <w:name w:val="OperatorTok"/>
    <w:basedOn w:val="VerbatimChar"/>
    <w:rPr>
      <w:rFonts w:ascii="Times New Roman" w:hAnsi="Times New Roman"/>
      <w:color w:val="666666"/>
      <w:sz w:val="22"/>
    </w:rPr>
  </w:style>
  <w:style w:type="character" w:customStyle="1" w:styleId="BuiltInTok">
    <w:name w:val="BuiltInTok"/>
    <w:basedOn w:val="VerbatimChar"/>
    <w:rPr>
      <w:rFonts w:ascii="Times New Roman" w:hAnsi="Times New Roman"/>
      <w:color w:val="008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BC7A00"/>
      <w:sz w:val="22"/>
    </w:rPr>
  </w:style>
  <w:style w:type="character" w:customStyle="1" w:styleId="AttributeTok">
    <w:name w:val="AttributeTok"/>
    <w:basedOn w:val="VerbatimChar"/>
    <w:rPr>
      <w:rFonts w:ascii="Times New Roman" w:hAnsi="Times New Roman"/>
      <w:color w:val="7D9029"/>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60A0B0"/>
      <w:sz w:val="22"/>
    </w:rPr>
  </w:style>
  <w:style w:type="character" w:customStyle="1" w:styleId="WarningTok">
    <w:name w:val="WarningTok"/>
    <w:basedOn w:val="VerbatimChar"/>
    <w:rPr>
      <w:rFonts w:ascii="Times New Roman" w:hAnsi="Times New Roman"/>
      <w:b/>
      <w:i/>
      <w:color w:val="60A0B0"/>
      <w:sz w:val="22"/>
    </w:rPr>
  </w:style>
  <w:style w:type="character" w:customStyle="1" w:styleId="AlertTok">
    <w:name w:val="AlertTok"/>
    <w:basedOn w:val="VerbatimChar"/>
    <w:rPr>
      <w:rFonts w:ascii="Times New Roman" w:hAnsi="Times New Roman"/>
      <w:b/>
      <w:color w:val="FF0000"/>
      <w:sz w:val="22"/>
    </w:rPr>
  </w:style>
  <w:style w:type="character" w:customStyle="1" w:styleId="ErrorTok">
    <w:name w:val="ErrorTok"/>
    <w:basedOn w:val="VerbatimChar"/>
    <w:rPr>
      <w:rFonts w:ascii="Times New Roman" w:hAnsi="Times New Roman"/>
      <w:b/>
      <w:color w:val="FF0000"/>
      <w:sz w:val="22"/>
    </w:rPr>
  </w:style>
  <w:style w:type="character" w:customStyle="1" w:styleId="NormalTok">
    <w:name w:val="NormalTok"/>
    <w:basedOn w:val="VerbatimCha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674</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9</cp:revision>
  <dcterms:created xsi:type="dcterms:W3CDTF">2026-08-15T19:47:00Z</dcterms:created>
  <dcterms:modified xsi:type="dcterms:W3CDTF">2026-08-15T20:34:00Z</dcterms:modified>
</cp:coreProperties>
</file>