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4DDD" w14:textId="77777777" w:rsidR="00687F6C" w:rsidRDefault="00000000">
      <w:pPr>
        <w:pStyle w:val="Heading1"/>
      </w:pPr>
      <w:bookmarkStart w:id="0" w:name="бүтцийн-шинжилгээ"/>
      <w:r>
        <w:t>5 Бүтцийн шинжилгээ</w:t>
      </w:r>
    </w:p>
    <w:p w14:paraId="4EA0EFA0" w14:textId="04A37BF0" w:rsidR="00687F6C" w:rsidRDefault="00000000">
      <w:pPr>
        <w:pStyle w:val="FirstParagraph"/>
      </w:pPr>
      <w:r>
        <w:t xml:space="preserve">Энэ хэсэгт үнэлэгдсэн загварын бүтцийн шинжийг дөрвөн өнцгөөс авч үзнэ. Эхлээд импульсийн хариу үйлдлийн функцээр гадаад шокын дамжуулах </w:t>
      </w:r>
      <w:r w:rsidR="0046129D">
        <w:rPr>
          <w:lang w:val="mn-MN"/>
        </w:rPr>
        <w:t>механизмыг</w:t>
      </w:r>
      <w:r>
        <w:t xml:space="preserve"> мөшгинө. Дараа нь вариацын задаргаагаар шок тус бүрийн эзлэх байр суурийг тодорхойлж, түүхэн задаргаагаар түүврийн хугацаанд тохиолдсон хоёр том үйл явдлыг тайлбарлана. Улмаар долларжилтын түвшин дамжуулалтын хүчийг хэрхэн тодорхойлохыг судалж, эцэст нь үр дүнг хаалттай эдийн засгийн жишиг загвартай харьцуулна.</w:t>
      </w:r>
    </w:p>
    <w:p w14:paraId="0F15ACE3" w14:textId="77777777" w:rsidR="00687F6C" w:rsidRDefault="00000000">
      <w:pPr>
        <w:pStyle w:val="Heading2"/>
      </w:pPr>
      <w:bookmarkStart w:id="1" w:name="импульсийн-хариу-үйлдлийн-функц"/>
      <w:r>
        <w:t>5.1 Импульсийн хариу үйлдлийн функц</w:t>
      </w:r>
    </w:p>
    <w:p w14:paraId="4D96392F" w14:textId="131875AD" w:rsidR="00687F6C" w:rsidRDefault="00000000">
      <w:pPr>
        <w:pStyle w:val="FirstParagraph"/>
      </w:pPr>
      <w:r>
        <w:t xml:space="preserve">Загварын арван зургаан шокоос энэ дэд хэсэгт таван шокын хариу үйлдлийг </w:t>
      </w:r>
      <w:r w:rsidR="009270C4">
        <w:t>авч үзнэ</w:t>
      </w:r>
      <w:r>
        <w:t>. Жижиг, нээлттэй эдийн засгийн блокийн хоёр шок энэ бүлгийн гол сэдэв юм. Банкны балансын шок үйлдвэрлэлийн вариацад хамгийн их хувь эзэлдэг. Мөнгөний бодлого</w:t>
      </w:r>
      <w:r w:rsidR="009270C4">
        <w:t>,</w:t>
      </w:r>
      <w:r>
        <w:t xml:space="preserve"> технологийн шок эх загвартай харьцуулах суурь болно. Бусад шокын үүргийг вариац</w:t>
      </w:r>
      <w:r w:rsidR="009270C4">
        <w:t xml:space="preserve"> ба</w:t>
      </w:r>
      <w:r>
        <w:t xml:space="preserve"> түүхэн задаргаагаар 5.2, 5.3 хэсэгт авч үзнэ. Бүх зурагт хойдчилсон медиан болон ерэн хувийн итгэлийн туузыг үзүүлсэн бөгөөд тоон утга нь загварын нэгжээр, өөрөөр хэлбэл тоо хэмжээний хувьд логарифм хазайлт, хүүний хувьд түвшний хазайлтаар илэрхийлэгдэнэ.</w:t>
      </w:r>
    </w:p>
    <w:p w14:paraId="171CAD2C" w14:textId="77777777" w:rsidR="00687F6C" w:rsidRDefault="00000000">
      <w:pPr>
        <w:pStyle w:val="Heading3"/>
      </w:pPr>
      <w:bookmarkStart w:id="2" w:name="улсын-эрсдэлийн-шагналын-шок"/>
      <w:r>
        <w:t>Улсын эрсдэлийн шагналын шок</w:t>
      </w:r>
    </w:p>
    <w:p w14:paraId="422C3671" w14:textId="57A89F49" w:rsidR="00687F6C" w:rsidRDefault="00000000">
      <w:pPr>
        <w:pStyle w:val="FirstParagraph"/>
      </w:pPr>
      <w:r>
        <w:t xml:space="preserve">Зураг 4-т улсын эрсдэлийн шагналын нэг стандарт хазайлтын шокын хариу үйлдлийг үзүүлэв. Уг шок гадаад санхүүжилтийн өртгийг шууд өсгөх бөгөөд түүнээс эхлэх дамжуулалтын </w:t>
      </w:r>
      <w:r w:rsidR="00B4541B">
        <w:t>механизм бол</w:t>
      </w:r>
      <w:r>
        <w:t xml:space="preserve"> энэ бүлгийн</w:t>
      </w:r>
      <w:r w:rsidR="00B4541B">
        <w:t xml:space="preserve"> хувьд чухал болно</w:t>
      </w:r>
      <w:r>
        <w:t>.</w:t>
      </w:r>
    </w:p>
    <w:p w14:paraId="35317580" w14:textId="77777777" w:rsidR="00687F6C" w:rsidRDefault="00000000">
      <w:pPr>
        <w:pStyle w:val="BodyText"/>
      </w:pPr>
      <w:r>
        <w:t>Эхний улиралд ханш гурван хувиар суларна. Банк хариуд нь гадаад зээллэгээ зургаан хувиар, гадаад валютын хадгаламжаа нэг хагас хувиар огцом хумилаа. Энэхүү хумилт нь эхэндээ банкийг хамгаалж, ашиг нь эхний улиралд өсөв. Гэвч уг хамгаалалт удаан үргэлжлээгүй. Дөрөв дэх улирлаас эхлэн ашиг сөрөг болж, найм дахь улиралд хамгийн доод цэгтээ хүрнэ.</w:t>
      </w:r>
    </w:p>
    <w:p w14:paraId="45759148" w14:textId="77777777" w:rsidR="00687F6C" w:rsidRDefault="00000000">
      <w:pPr>
        <w:pStyle w:val="BodyText"/>
      </w:pPr>
      <w:r>
        <w:t>Банкны өөрийн хөрөнгө урьдчилан тодорхойлогддог бөгөөд ашгаас аажим хуримтлагддаг тул алдагдал шууд илэрдэггүй. Эхний улиралд өөрийн хөрөнгө бараг хөдлөхгүй, дөрөв дэх улиралд нэг хувиар өсөх боловч найм дахь улирлаас сөрөг болж, хорь дахь улиралд нэг цэг таван хувиар буурсан хэвээр байна. Ийнхүү валютын үл тохирооны зардал хоёр жилийн дараа илэрч, дөрөв дэх жилд гүнзгийрэх ажээ.</w:t>
      </w:r>
    </w:p>
    <w:p w14:paraId="4A535292" w14:textId="77777777" w:rsidR="00687F6C" w:rsidRDefault="00000000">
      <w:pPr>
        <w:pStyle w:val="BodyText"/>
      </w:pPr>
      <w:r>
        <w:t>Өөрийн хөрөнгө буурахад банкны хөшүүрэг зорилтот түвшнээс дээш гарч, бөөний зээлийн спред өргөсөнө. Спред найм дахь улирлаас статистикийн хувьд мэдэгдэхүйц эерэг болж, арван хоёр дахь улиралд оргилдоо хүрэх бөгөөд хорь дахь улиралд ч эерэг хэвээр үлдэнэ. Зээлийн хүү мөн ижил хэлбэрээр өснө. Үүний үр дүнд зээл түүврийн туршид агшиж, цаг хугацаа өнгөрөх тусам гүнзгийрэв: эхний улиралд нэг аравны нэг хувиар буурсан бол хорь дахь улиралд нэг аравны тав хувиар буурна.</w:t>
      </w:r>
    </w:p>
    <w:p w14:paraId="79937597" w14:textId="14823091" w:rsidR="00687F6C" w:rsidRDefault="00000000">
      <w:pPr>
        <w:pStyle w:val="BodyText"/>
      </w:pPr>
      <w:r>
        <w:t xml:space="preserve">Бодит эдийн засагт үзүүлэх нөлөө хоёр шатлалтай. Эхний улиралд үйлдвэрлэл нэг хувиар унана. Энэ нь ханшийн шууд нөлөө бөгөөд гурав дахь улирлаас эргэж сэргэнэ. Харин </w:t>
      </w:r>
      <w:r>
        <w:lastRenderedPageBreak/>
        <w:t>хөрөнгө оруулалт зургаа дахь улирлаас сөрөг болж, арван гурав дахь улиралд хамгийн доод цэгтээ хүрэх бөгөөд хэрэглээ найм дахь улиралд буурсан хэвээр байна. Өөрөөр хэлбэл</w:t>
      </w:r>
      <w:r w:rsidR="001E7627">
        <w:t>,</w:t>
      </w:r>
      <w:r>
        <w:t xml:space="preserve"> эхний цохилт нь ханшаар шууд дамжсан бол хожмын, илүү тогтвортой уналт нь банкны балансаар дамжсан болно.</w:t>
      </w:r>
    </w:p>
    <w:p w14:paraId="291317CB" w14:textId="77777777" w:rsidR="00687F6C" w:rsidRDefault="00000000">
      <w:pPr>
        <w:pStyle w:val="BodyText"/>
      </w:pPr>
      <w:r>
        <w:t>Энэхүү хугацааны бүтэц нь бүлгийн гол олдворуудын нэг юм. Валютын үл тохирооны зардал тэр даруй биш, банкны өөрийн хөрөнгийн хуримтлалаар дамжин хойшилж илэрдэг. Тиймээс гадаад шокын дараах эхний хэдэн улирлын өгөгдөл зөвхөн харагдах нөлөөг тусгах бөгөөд бүрэн зардлыг үнэлэхийн тулд дунд хугацааг харах шаардлагатай.</w:t>
      </w:r>
    </w:p>
    <w:p w14:paraId="5C849CFD" w14:textId="77777777" w:rsidR="00687F6C" w:rsidRDefault="00000000">
      <w:pPr>
        <w:pStyle w:val="Heading3"/>
      </w:pPr>
      <w:bookmarkStart w:id="3" w:name="дэлхийн-хүүний-шок"/>
      <w:bookmarkEnd w:id="2"/>
      <w:r>
        <w:t>Дэлхийн хүүний шок</w:t>
      </w:r>
    </w:p>
    <w:p w14:paraId="6687725F" w14:textId="7163A785" w:rsidR="00687F6C" w:rsidRDefault="00000000">
      <w:pPr>
        <w:pStyle w:val="FirstParagraph"/>
      </w:pPr>
      <w:r>
        <w:t xml:space="preserve">Зураг 5-д дэлхийн хүүний шокын хариу үйлдлийг </w:t>
      </w:r>
      <w:r w:rsidR="00612FCE">
        <w:t>харууллаа</w:t>
      </w:r>
      <w:r>
        <w:t>. Уг шок эрсдэлийн шагналын шоктой ижил сувгаар дамжих боловч хүч нь эрс сул байна.</w:t>
      </w:r>
    </w:p>
    <w:p w14:paraId="753B85E4" w14:textId="77777777" w:rsidR="00687F6C" w:rsidRDefault="00000000">
      <w:pPr>
        <w:pStyle w:val="BodyText"/>
      </w:pPr>
      <w:r>
        <w:t>Ханш эхний улиралд нэг хувиас бага хэмжээгээр суларч, гадаад зээллэг нэг хагас хувиар хумигдана. Банкны өөрийн хөрөнгө эхэндээ бага зэрэг өсөөд арав дахь улирлаас сөрөг болно. Спред тогтвортой өргөсч, зээл агшиж, үйлдвэрлэл эхний улиралд гурван аравны нэг хувиар буурлаа. Хариу үйлдлийн хэлбэр бүх хувьсагчид ижил байх бөгөөд хэмжээ нь ойролцоогоор гурав дөрөв дахин бага байна.</w:t>
      </w:r>
    </w:p>
    <w:p w14:paraId="078C84CD" w14:textId="77777777" w:rsidR="00687F6C" w:rsidRDefault="00000000">
      <w:pPr>
        <w:pStyle w:val="BodyText"/>
      </w:pPr>
      <w:r>
        <w:t>Хоёр шокын хариу үйлдэл ийнхүү ижил хэлбэртэй байгаа нь чухал ач холбогдолтой. Дамжуулах механизм нь тодорхой нэг шокын онцлог бус, гадаад санхүүжилтийн өртгийн аливаа өөрчлөлтөд үйлчилдэг ерөнхий бүтэц болохыг харуулна. Ялгаа нь зөвхөн хэмжээнд оршино: улсын эрсдэлийн шагнал нь дэлхийн хүүнээс хамаагүй том хэлбэлзэлтэй тул түүний нөлөө ч давамгайлна.</w:t>
      </w:r>
    </w:p>
    <w:p w14:paraId="34CF6173" w14:textId="77777777" w:rsidR="00687F6C" w:rsidRDefault="00000000">
      <w:pPr>
        <w:pStyle w:val="Heading3"/>
      </w:pPr>
      <w:bookmarkStart w:id="4" w:name="банкны-балансын-шок"/>
      <w:bookmarkEnd w:id="3"/>
      <w:r>
        <w:t>Банкны балансын шок</w:t>
      </w:r>
    </w:p>
    <w:p w14:paraId="12DA3C5E" w14:textId="77777777" w:rsidR="00687F6C" w:rsidRDefault="00000000">
      <w:pPr>
        <w:pStyle w:val="FirstParagraph"/>
      </w:pPr>
      <w:r>
        <w:t>Зураг 6-д банкны балансын шокын хариу үйлдлийг үзүүлэв. Уг шок нь эх загвараас өвлөгдсөн бөгөөд Gerali нар түүнийг стохастик ганцааршилтаас зайлсхийх зорилгоор нэмсэн гэдгээ тодорхой бичсэн байдаг. Тиймээс түүнийг бүтцийн шок бус, тооцооллын төхөөрөмж гэж үзэх нь зүйтэй.</w:t>
      </w:r>
    </w:p>
    <w:p w14:paraId="594A8F7B" w14:textId="77777777" w:rsidR="00687F6C" w:rsidRDefault="00000000">
      <w:pPr>
        <w:pStyle w:val="BodyText"/>
      </w:pPr>
      <w:r>
        <w:t>Уг шокын эхний улирлын хариу үйлдлийг болгоомжтой тайлбарлах ёстой. Шок нь балансын адилтгалд шууд орох тул үйлдвэрлэл, хадгаламж эхний улиралд механик байдлаар огцом унаж, дараа нь тэр даруй сэргэнэ. Энэ нь эдийн засгийн дамжуулалт биш, харин адилтгалыг тэнцүүлэх нягтлан бодох хөдөлгөөн юм.</w:t>
      </w:r>
    </w:p>
    <w:p w14:paraId="1C6F3767" w14:textId="77777777" w:rsidR="00687F6C" w:rsidRDefault="00000000">
      <w:pPr>
        <w:pStyle w:val="BodyText"/>
      </w:pPr>
      <w:r>
        <w:t>Харин дунд хугацааны зам эдийн засгийн утгатай. Зээл эхний улиралд хоёр хувиар буурч, дараа нь аажим сэргэнэ. Спред эхэндээ нарийсаад арав дахь улирлаас өргөсөх бөгөөд банкны өөрийн хөрөнгө хуримтлагдана. Хэрэглээ, хөрөнгө оруулалт хоёулаа буурсан хэвээр байна. Эдгээр хариу үйлдэл нь банкны балансын хязгаарлалт чангарахад зээлийн нөхцөл хэрхэн хариу үзүүлэхийг харуулна.</w:t>
      </w:r>
    </w:p>
    <w:p w14:paraId="71AD3C76" w14:textId="77777777" w:rsidR="00687F6C" w:rsidRDefault="00000000">
      <w:pPr>
        <w:pStyle w:val="Heading3"/>
      </w:pPr>
      <w:bookmarkStart w:id="5" w:name="мөнгөний-бодлого-болон-технологийн-шок"/>
      <w:bookmarkEnd w:id="4"/>
      <w:r>
        <w:t>Мөнгөний бодлого болон технологийн шок</w:t>
      </w:r>
    </w:p>
    <w:p w14:paraId="1DF5771A" w14:textId="3C588173" w:rsidR="00687F6C" w:rsidRDefault="00000000">
      <w:pPr>
        <w:pStyle w:val="FirstParagraph"/>
      </w:pPr>
      <w:r>
        <w:t xml:space="preserve">Зураг 7, 8-д мөнгөний бодлого болон технологийн шокын хариу үйлдлийг харгалзан </w:t>
      </w:r>
      <w:r w:rsidR="00612FCE">
        <w:t>харуулав</w:t>
      </w:r>
      <w:r>
        <w:t>. Эдгээр нь эх загварын гол сэдэв байсан бөгөөд харьцуулалтын суурь болно.</w:t>
      </w:r>
    </w:p>
    <w:p w14:paraId="6CE6DA36" w14:textId="77777777" w:rsidR="00687F6C" w:rsidRDefault="00000000">
      <w:pPr>
        <w:pStyle w:val="BodyText"/>
      </w:pPr>
      <w:r>
        <w:lastRenderedPageBreak/>
        <w:t>Мөнгөний бодлогын хатууруулалтад бодлогын хүү огцом өснө. Ханш чангарах нь жижиг, нээлттэй эдийн засгийн хүлээгдэх хариу үйлдэл юм. Банкны спред эхний улиралд огцом өргөсч байгаа нь зээлийн хүү бодлогын хүүг гүйцэхгүй байгааг илэрхийлнэ. Зээл гурван хувиар агшиж, үйлдвэрлэл гурван хувь, хөрөнгө оруулалт долоон хувиар буурлаа. Хүүний бүрэн бус дамжуулалт нь эх загварын гол дүгнэлт байсан бөгөөд Монголын хувьд ч мөн адил илэрч байна.</w:t>
      </w:r>
    </w:p>
    <w:p w14:paraId="6F4E4B8A" w14:textId="77777777" w:rsidR="00687F6C" w:rsidRDefault="00000000">
      <w:pPr>
        <w:pStyle w:val="BodyText"/>
      </w:pPr>
      <w:r>
        <w:t>Эерэг технологийн шокод үйлдвэрлэл, хэрэглээ, хөрөнгө оруулалт өсч, инфляц буурна. Санхүүгийн талд спред нарийсч, зээл тэлнэ. Харин банкны ашиг сөрөг болж, өөрийн хөрөнгө дөрөв дэх улирлаас буурч байгаа нь ахиуц зардлын бууралт зээлийн хүүг дарсантай холбоотой. Энэ нь мөн эх загварын дүр зурагтай нийцнэ.</w:t>
      </w:r>
    </w:p>
    <w:p w14:paraId="29B4EC23" w14:textId="77777777" w:rsidR="00687F6C" w:rsidRDefault="00000000">
      <w:pPr>
        <w:pStyle w:val="BodyText"/>
      </w:pPr>
      <w:r>
        <w:t>Гурван дотоод шокын хувьд ханшийн хариу үйлдэл гурван аравны нэгээс дөрвөн аравны нэг хувийн хооронд байна. Хоёр гадаад шокынх нэгээс гурван хувь байгаатай харьцуулбал эрс бага юм. Энэхүү ялгаа нь дараагийн дэд хэсгийн вариацын задаргаанд тоон хэлбэрээр илэрнэ.</w:t>
      </w:r>
      <w:bookmarkEnd w:id="0"/>
      <w:bookmarkEnd w:id="1"/>
      <w:bookmarkEnd w:id="5"/>
    </w:p>
    <w:sectPr w:rsidR="00687F6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FCB2A" w14:textId="77777777" w:rsidR="00C26D76" w:rsidRDefault="00C26D76">
      <w:pPr>
        <w:spacing w:after="0"/>
      </w:pPr>
      <w:r>
        <w:separator/>
      </w:r>
    </w:p>
  </w:endnote>
  <w:endnote w:type="continuationSeparator" w:id="0">
    <w:p w14:paraId="35110A85" w14:textId="77777777" w:rsidR="00C26D76" w:rsidRDefault="00C26D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34850" w14:textId="77777777" w:rsidR="00C26D76" w:rsidRDefault="00C26D76">
      <w:r>
        <w:separator/>
      </w:r>
    </w:p>
  </w:footnote>
  <w:footnote w:type="continuationSeparator" w:id="0">
    <w:p w14:paraId="4039F4B3" w14:textId="77777777" w:rsidR="00C26D76" w:rsidRDefault="00C26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0842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0427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7F6C"/>
    <w:rsid w:val="000E50D5"/>
    <w:rsid w:val="001E7627"/>
    <w:rsid w:val="00330B61"/>
    <w:rsid w:val="0046129D"/>
    <w:rsid w:val="00612FCE"/>
    <w:rsid w:val="00687F6C"/>
    <w:rsid w:val="009270C4"/>
    <w:rsid w:val="00B4541B"/>
    <w:rsid w:val="00C26D7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1A1DD"/>
  <w15:docId w15:val="{B6C49835-D3EF-440D-AA5D-0FE1D36C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5</cp:revision>
  <dcterms:created xsi:type="dcterms:W3CDTF">2026-08-20T21:44:00Z</dcterms:created>
  <dcterms:modified xsi:type="dcterms:W3CDTF">2026-08-21T12:48:00Z</dcterms:modified>
</cp:coreProperties>
</file>