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86AD" w14:textId="77777777" w:rsidR="00EC6BCD" w:rsidRDefault="00000000">
      <w:pPr>
        <w:pStyle w:val="Heading1"/>
      </w:pPr>
      <w:bookmarkStart w:id="0" w:name="үйлдвэрлэлийн-сектор"/>
      <w:r>
        <w:t>2.2 Үйлдвэрлэлийн сектор</w:t>
      </w:r>
    </w:p>
    <w:p w14:paraId="23DB6B3F" w14:textId="1198CAD7" w:rsidR="00EC6BCD" w:rsidRDefault="00000000">
      <w:pPr>
        <w:pStyle w:val="FirstParagraph"/>
      </w:pPr>
      <w:r>
        <w:t>Үйлдвэрлэлийн секторыг гурван төрлийн агент бүрдүүлнэ</w:t>
      </w:r>
      <w:r w:rsidR="00814D3A">
        <w:t>. Үүнд</w:t>
      </w:r>
      <w:r>
        <w:t xml:space="preserve"> дундын бараа үйлдвэрлэдэг аж ахуй эрхлэгчид, капиталын нийлүүлэлтийг хангадаг капитал үйлдвэрлэгч, дундын барааг ялгаварлан эцсийн бүтээгдэхүүн болгодог жижиглэн худалдаалагч. Эдгээр агентын оновчлолын бодлого эх загварынхтай бүрэн ижил бөгөөд энэ бүлгийн өргөтгөл тэдэнд нөлөөлөхгүй.</w:t>
      </w:r>
    </w:p>
    <w:p w14:paraId="33AE25E8" w14:textId="77777777" w:rsidR="00EC6BCD" w:rsidRDefault="00000000">
      <w:pPr>
        <w:pStyle w:val="Heading2"/>
      </w:pPr>
      <w:bookmarkStart w:id="1" w:name="аж-ахуй-эрхлэгчид"/>
      <w:r>
        <w:t>2.2.1 Аж ахуй эрхлэгчид</w:t>
      </w:r>
    </w:p>
    <w:p w14:paraId="3AF0FCD7" w14:textId="4CEE0538" w:rsidR="00EC6BCD" w:rsidRDefault="00000000">
      <w:pPr>
        <w:pStyle w:val="FirstParagraph"/>
      </w:pPr>
      <w:r>
        <w:t xml:space="preserve">Аж ахуй эрхлэгч </w:t>
      </w:r>
      <m:oMath>
        <m:r>
          <w:rPr>
            <w:rFonts w:ascii="Cambria Math" w:hAnsi="Cambria Math"/>
          </w:rPr>
          <m:t>i</m:t>
        </m:r>
      </m:oMath>
      <w:r>
        <w:t xml:space="preserve"> хэрэглээ </w:t>
      </w: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E</m:t>
            </m:r>
          </m:sup>
        </m:sSubSup>
      </m:oMath>
      <w:r>
        <w:t xml:space="preserve">, физик капитал </w:t>
      </w:r>
      <m:oMath>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E</m:t>
            </m:r>
          </m:sup>
        </m:sSubSup>
      </m:oMath>
      <w:r>
        <w:t xml:space="preserve">, капиталын ашиглалтын түвшин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тэвчээртэй болон тэвчээргүй өрхөөс хөлслөх хөдөлмөр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I</m:t>
            </m:r>
          </m:sup>
        </m:sSubSup>
      </m:oMath>
      <w:r>
        <w:t xml:space="preserve">, мөн банкны зээл </w:t>
      </w:r>
      <m:oMath>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oMath>
      <w:r>
        <w:t>-г сонгож дараах ханамжийг максимумчилна</w:t>
      </w:r>
      <w:r w:rsidR="00814D3A">
        <w:t>.</w:t>
      </w:r>
    </w:p>
    <w:p w14:paraId="4A20897D" w14:textId="77777777" w:rsidR="00EC6BCD"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m:t>
              </m:r>
            </m:sub>
          </m:sSub>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E</m:t>
                  </m:r>
                </m:sub>
                <m:sup>
                  <m:r>
                    <w:rPr>
                      <w:rFonts w:ascii="Cambria Math" w:hAnsi="Cambria Math"/>
                    </w:rPr>
                    <m:t> t</m:t>
                  </m:r>
                </m:sup>
              </m:sSubSup>
            </m:e>
          </m:nary>
          <m:r>
            <m:rPr>
              <m:sty m:val="p"/>
            </m:rPr>
            <w:rPr>
              <w:rFonts w:ascii="Cambria Math" w:hAnsi="Cambria Math"/>
            </w:rPr>
            <m:t>log</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sSubSup>
                <m:sSubSupPr>
                  <m:ctrlPr>
                    <w:rPr>
                      <w:rFonts w:ascii="Cambria Math" w:hAnsi="Cambria Math"/>
                    </w:rPr>
                  </m:ctrlPr>
                </m:sSubSup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e>
          </m:d>
        </m:oMath>
      </m:oMathPara>
    </w:p>
    <w:p w14:paraId="5D4761E4" w14:textId="77777777" w:rsidR="00EC6BCD" w:rsidRDefault="00000000">
      <w:pPr>
        <w:pStyle w:val="FirstParagraph"/>
      </w:pPr>
      <w:r>
        <w:t>(2.10)</w:t>
      </w:r>
    </w:p>
    <w:p w14:paraId="16834DBC" w14:textId="7120A339" w:rsidR="00EC6BCD" w:rsidRDefault="00000000">
      <w:pPr>
        <w:pStyle w:val="BodyText"/>
      </w:pPr>
      <w:r>
        <w:t xml:space="preserve">Өрхөөс ялгаатай нь аж ахуй эрхлэгч орон сууц эзэмшихгүй бөгөөд түүний ханамж зөвхөн </w:t>
      </w:r>
      <w:r w:rsidR="00814D3A">
        <w:t xml:space="preserve">өөрийн </w:t>
      </w:r>
      <w:r>
        <w:t>хэрэглээ нь бүлгийн өмнөх үеийн нийт хэрэглээнээс хазайх хазайлтаас хамаарна</w:t>
      </w:r>
      <w:r w:rsidR="00814D3A">
        <w:t>.</w:t>
      </w:r>
      <w:r>
        <w:t xml:space="preserve"> </w:t>
      </w:r>
      <m:oMath>
        <m:sSup>
          <m:sSupPr>
            <m:ctrlPr>
              <w:rPr>
                <w:rFonts w:ascii="Cambria Math" w:hAnsi="Cambria Math"/>
              </w:rPr>
            </m:ctrlPr>
          </m:sSupPr>
          <m:e>
            <m:r>
              <w:rPr>
                <w:rFonts w:ascii="Cambria Math" w:hAnsi="Cambria Math"/>
              </w:rPr>
              <m:t>a</m:t>
            </m:r>
          </m:e>
          <m:sup>
            <m:r>
              <w:rPr>
                <w:rFonts w:ascii="Cambria Math" w:hAnsi="Cambria Math"/>
              </w:rPr>
              <m:t>E</m:t>
            </m:r>
          </m:sup>
        </m:sSup>
      </m:oMath>
      <w:r>
        <w:t xml:space="preserve"> параметр зуршлыг хэмжинэ</w:t>
      </w:r>
      <w:r w:rsidR="00814D3A">
        <w:rPr>
          <w:lang w:val="mn-MN"/>
        </w:rPr>
        <w:t>.</w:t>
      </w:r>
      <w:r>
        <w:t xml:space="preserve"> Хямдруулалтын хүчин зүйл </w:t>
      </w:r>
      <m:oMath>
        <m:sSub>
          <m:sSubPr>
            <m:ctrlPr>
              <w:rPr>
                <w:rFonts w:ascii="Cambria Math" w:hAnsi="Cambria Math"/>
              </w:rPr>
            </m:ctrlPr>
          </m:sSubPr>
          <m:e>
            <m:r>
              <w:rPr>
                <w:rFonts w:ascii="Cambria Math" w:hAnsi="Cambria Math"/>
              </w:rPr>
              <m:t>β</m:t>
            </m:r>
          </m:e>
          <m:sub>
            <m:r>
              <w:rPr>
                <w:rFonts w:ascii="Cambria Math" w:hAnsi="Cambria Math"/>
              </w:rPr>
              <m:t>E</m:t>
            </m:r>
          </m:sub>
        </m:sSub>
      </m:oMath>
      <w:r>
        <w:t xml:space="preserve"> тэвчээртэй өрхийнхөөс бага байх тул тэнцвэрт төлөвт аж ахуй эрхлэгч зээлдэгч болно.</w:t>
      </w:r>
    </w:p>
    <w:p w14:paraId="4649D9F9" w14:textId="2AACCDE1" w:rsidR="00EC6BCD" w:rsidRDefault="00000000">
      <w:pPr>
        <w:pStyle w:val="BodyText"/>
      </w:pPr>
      <w:r>
        <w:t>Түүний сонголт төсвийн хязгаарлалтад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E</m:t>
            </m:r>
          </m:sup>
        </m:sSubSup>
      </m:oMath>
      <w:r>
        <w:t xml:space="preserve"> үржүүлэгчтэй) захирагдана</w:t>
      </w:r>
      <w:r w:rsidR="00814D3A">
        <w:t>.</w:t>
      </w:r>
    </w:p>
    <w:p w14:paraId="1A3BF389" w14:textId="77777777" w:rsidR="00EC6BC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i</m:t>
              </m:r>
            </m:e>
          </m:d>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P</m:t>
              </m:r>
            </m:sup>
          </m:sSubSup>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P</m:t>
              </m:r>
            </m:sup>
          </m:sSubSup>
          <m:d>
            <m:dPr>
              <m:ctrlPr>
                <w:rPr>
                  <w:rFonts w:ascii="Cambria Math" w:hAnsi="Cambria Math"/>
                </w:rPr>
              </m:ctrlPr>
            </m:dPr>
            <m:e>
              <m:r>
                <w:rPr>
                  <w:rFonts w:ascii="Cambria Math" w:hAnsi="Cambria Math"/>
                </w:rPr>
                <m:t>i</m:t>
              </m:r>
            </m:e>
          </m:d>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I</m:t>
              </m:r>
            </m:sup>
          </m:sSubSup>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I</m:t>
              </m:r>
            </m:sup>
          </m:sSubSup>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bE</m:t>
                  </m:r>
                </m:sup>
              </m:sSubSup>
            </m:num>
            <m:den>
              <m:sSub>
                <m:sSubPr>
                  <m:ctrlPr>
                    <w:rPr>
                      <w:rFonts w:ascii="Cambria Math" w:hAnsi="Cambria Math"/>
                    </w:rPr>
                  </m:ctrlPr>
                </m:sSubPr>
                <m:e>
                  <m:r>
                    <w:rPr>
                      <w:rFonts w:ascii="Cambria Math" w:hAnsi="Cambria Math"/>
                    </w:rPr>
                    <m:t>π</m:t>
                  </m:r>
                </m:e>
                <m:sub>
                  <m:r>
                    <w:rPr>
                      <w:rFonts w:ascii="Cambria Math" w:hAnsi="Cambria Math"/>
                    </w:rPr>
                    <m:t>t</m:t>
                  </m:r>
                </m:sub>
              </m:sSub>
            </m:den>
          </m:f>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d>
            <m:dPr>
              <m:ctrlPr>
                <w:rPr>
                  <w:rFonts w:ascii="Cambria Math" w:hAnsi="Cambria Math"/>
                </w:rPr>
              </m:ctrlPr>
            </m:dPr>
            <m:e>
              <m:r>
                <w:rPr>
                  <w:rFonts w:ascii="Cambria Math" w:hAnsi="Cambria Math"/>
                </w:rPr>
                <m:t>i</m:t>
              </m:r>
            </m:e>
          </m:d>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k</m:t>
              </m:r>
            </m:sup>
          </m:sSubSup>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d>
                <m:dPr>
                  <m:ctrlPr>
                    <w:rPr>
                      <w:rFonts w:ascii="Cambria Math" w:hAnsi="Cambria Math"/>
                    </w:rPr>
                  </m:ctrlPr>
                </m:dPr>
                <m:e>
                  <m:r>
                    <w:rPr>
                      <w:rFonts w:ascii="Cambria Math" w:hAnsi="Cambria Math"/>
                    </w:rPr>
                    <m:t>i</m:t>
                  </m:r>
                </m:e>
              </m:d>
            </m:e>
          </m:d>
          <m:sSubSup>
            <m:sSubSupPr>
              <m:ctrlPr>
                <w:rPr>
                  <w:rFonts w:ascii="Cambria Math" w:hAnsi="Cambria Math"/>
                </w:rPr>
              </m:ctrlPr>
            </m:sSubSup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i</m:t>
                  </m:r>
                </m:e>
              </m:d>
            </m:num>
            <m:den>
              <m:sSub>
                <m:sSubPr>
                  <m:ctrlPr>
                    <w:rPr>
                      <w:rFonts w:ascii="Cambria Math" w:hAnsi="Cambria Math"/>
                    </w:rPr>
                  </m:ctrlPr>
                </m:sSubPr>
                <m:e>
                  <m:r>
                    <w:rPr>
                      <w:rFonts w:ascii="Cambria Math" w:hAnsi="Cambria Math"/>
                    </w:rPr>
                    <m:t>x</m:t>
                  </m:r>
                </m:e>
                <m:sub>
                  <m:r>
                    <w:rPr>
                      <w:rFonts w:ascii="Cambria Math" w:hAnsi="Cambria Math"/>
                    </w:rPr>
                    <m:t>t</m:t>
                  </m:r>
                </m:sub>
              </m:sSub>
            </m:den>
          </m:f>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i</m:t>
              </m:r>
            </m:e>
          </m:d>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k</m:t>
              </m:r>
            </m:sup>
          </m:sSub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sSubSup>
            <m:sSubSupPr>
              <m:ctrlPr>
                <w:rPr>
                  <w:rFonts w:ascii="Cambria Math" w:hAnsi="Cambria Math"/>
                </w:rPr>
              </m:ctrlPr>
            </m:sSubSup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d>
            <m:dPr>
              <m:ctrlPr>
                <w:rPr>
                  <w:rFonts w:ascii="Cambria Math" w:hAnsi="Cambria Math"/>
                </w:rPr>
              </m:ctrlPr>
            </m:dPr>
            <m:e>
              <m:r>
                <w:rPr>
                  <w:rFonts w:ascii="Cambria Math" w:hAnsi="Cambria Math"/>
                </w:rPr>
                <m:t>i</m:t>
              </m:r>
            </m:e>
          </m:d>
        </m:oMath>
      </m:oMathPara>
    </w:p>
    <w:p w14:paraId="08FA8C97" w14:textId="77777777" w:rsidR="00EC6BCD" w:rsidRDefault="00000000">
      <w:pPr>
        <w:pStyle w:val="FirstParagraph"/>
      </w:pPr>
      <w:r>
        <w:t>(2.11)</w:t>
      </w:r>
    </w:p>
    <w:p w14:paraId="0EF02AB7" w14:textId="7C7DC9C1" w:rsidR="00EC6BCD" w:rsidRDefault="00814D3A">
      <w:pPr>
        <w:pStyle w:val="BodyText"/>
      </w:pPr>
      <w:r>
        <w:t>Э</w:t>
      </w:r>
      <w:r w:rsidR="00000000">
        <w:t xml:space="preserve">нд ашиглалтын зардал </w:t>
      </w:r>
      <m:oMath>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ξ</m:t>
                </m:r>
              </m:e>
              <m:sub>
                <m:r>
                  <w:rPr>
                    <w:rFonts w:ascii="Cambria Math" w:hAnsi="Cambria Math"/>
                  </w:rPr>
                  <m:t>2</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1</m:t>
                </m:r>
              </m:e>
            </m:d>
          </m:e>
          <m:sup>
            <m:r>
              <w:rPr>
                <w:rFonts w:ascii="Cambria Math" w:hAnsi="Cambria Math"/>
              </w:rPr>
              <m:t>2</m:t>
            </m:r>
          </m:sup>
        </m:sSup>
      </m:oMath>
      <w:r w:rsidR="00000000">
        <w:t xml:space="preserve"> хэлбэртэй (Schmitt-Grohé, Uribe, 2006), </w:t>
      </w:r>
      <m:oMath>
        <m:r>
          <w:rPr>
            <w:rFonts w:ascii="Cambria Math" w:hAnsi="Cambria Math"/>
          </w:rPr>
          <m:t>δ</m:t>
        </m:r>
      </m:oMath>
      <w:r w:rsidR="00000000">
        <w:t xml:space="preserve"> капиталын элэгдлийн түвшин,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k</m:t>
            </m:r>
          </m:sup>
        </m:sSubSup>
      </m:oMath>
      <w:r w:rsidR="00000000">
        <w:t xml:space="preserve"> нь капиталын бодит үнэ,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rsidR="00000000">
        <w:t xml:space="preserve"> ундын барааны харьцангуй үнэ юм.</w:t>
      </w:r>
    </w:p>
    <w:p w14:paraId="2EA36840" w14:textId="2D9AE01C" w:rsidR="00EC6BCD" w:rsidRDefault="00814D3A">
      <w:pPr>
        <w:pStyle w:val="BodyText"/>
      </w:pPr>
      <w:r>
        <w:t>Дараах ү</w:t>
      </w:r>
      <w:r w:rsidR="00000000">
        <w:t>йлдвэрлэлийн технолог</w:t>
      </w:r>
      <w:r>
        <w:t>ийг ашиглана.</w:t>
      </w:r>
    </w:p>
    <w:p w14:paraId="4DE33AD0" w14:textId="77777777" w:rsidR="00EC6BC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i</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E</m:t>
              </m:r>
            </m:sup>
          </m:sSubSup>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d>
                    <m:dPr>
                      <m:ctrlPr>
                        <w:rPr>
                          <w:rFonts w:ascii="Cambria Math" w:hAnsi="Cambria Math"/>
                        </w:rPr>
                      </m:ctrlPr>
                    </m:dPr>
                    <m:e>
                      <m:r>
                        <w:rPr>
                          <w:rFonts w:ascii="Cambria Math" w:hAnsi="Cambria Math"/>
                        </w:rPr>
                        <m:t>i</m:t>
                      </m:r>
                    </m:e>
                  </m:d>
                  <m:sSub>
                    <m:sSubPr>
                      <m:ctrlPr>
                        <w:rPr>
                          <w:rFonts w:ascii="Cambria Math" w:hAnsi="Cambria Math"/>
                        </w:rPr>
                      </m:ctrlPr>
                    </m:sSubPr>
                    <m:e>
                      <m:r>
                        <w:rPr>
                          <w:rFonts w:ascii="Cambria Math" w:hAnsi="Cambria Math"/>
                        </w:rPr>
                        <m:t>u</m:t>
                      </m:r>
                    </m:e>
                    <m:sub>
                      <m:r>
                        <w:rPr>
                          <w:rFonts w:ascii="Cambria Math" w:hAnsi="Cambria Math"/>
                        </w:rPr>
                        <m:t>t</m:t>
                      </m:r>
                    </m:sub>
                  </m:sSub>
                  <m:d>
                    <m:dPr>
                      <m:ctrlPr>
                        <w:rPr>
                          <w:rFonts w:ascii="Cambria Math" w:hAnsi="Cambria Math"/>
                        </w:rPr>
                      </m:ctrlPr>
                    </m:dPr>
                    <m:e>
                      <m:r>
                        <w:rPr>
                          <w:rFonts w:ascii="Cambria Math" w:hAnsi="Cambria Math"/>
                        </w:rPr>
                        <m:t>i</m:t>
                      </m:r>
                    </m:e>
                  </m:d>
                </m:e>
              </m:d>
            </m:e>
            <m:sup>
              <m:r>
                <w:rPr>
                  <w:rFonts w:ascii="Cambria Math" w:hAnsi="Cambria Math"/>
                </w:rPr>
                <m:t>α</m:t>
              </m:r>
            </m:sup>
          </m:sSup>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sup>
          </m:sSubSup>
          <m:sSup>
            <m:sSupPr>
              <m:ctrlPr>
                <w:rPr>
                  <w:rFonts w:ascii="Cambria Math" w:hAnsi="Cambria Math"/>
                </w:rPr>
              </m:ctrlPr>
            </m:sSupPr>
            <m:e>
              <m:d>
                <m:dPr>
                  <m:ctrlPr>
                    <w:rPr>
                      <w:rFonts w:ascii="Cambria Math" w:hAnsi="Cambria Math"/>
                    </w:rPr>
                  </m:ctrlPr>
                </m:dPr>
                <m:e>
                  <m:r>
                    <w:rPr>
                      <w:rFonts w:ascii="Cambria Math" w:hAnsi="Cambria Math"/>
                    </w:rPr>
                    <m:t>i</m:t>
                  </m:r>
                </m:e>
              </m:d>
            </m:e>
            <m:sup>
              <m:r>
                <w:rPr>
                  <w:rFonts w:ascii="Cambria Math" w:hAnsi="Cambria Math"/>
                </w:rPr>
                <m:t>1</m:t>
              </m:r>
              <m:r>
                <m:rPr>
                  <m:sty m:val="p"/>
                </m:rPr>
                <w:rPr>
                  <w:rFonts w:ascii="Cambria Math" w:hAnsi="Cambria Math"/>
                </w:rPr>
                <m:t>-</m:t>
              </m:r>
              <m:r>
                <w:rPr>
                  <w:rFonts w:ascii="Cambria Math" w:hAnsi="Cambria Math"/>
                </w:rPr>
                <m:t>α</m:t>
              </m:r>
            </m:sup>
          </m:sSup>
        </m:oMath>
      </m:oMathPara>
    </w:p>
    <w:p w14:paraId="2154160E" w14:textId="77777777" w:rsidR="00EC6BCD" w:rsidRDefault="00000000">
      <w:pPr>
        <w:pStyle w:val="FirstParagraph"/>
      </w:pPr>
      <w:r>
        <w:t>(2.12)</w:t>
      </w:r>
    </w:p>
    <w:p w14:paraId="31DEDE6B" w14:textId="1A123027" w:rsidR="00EC6BCD" w:rsidRDefault="00814D3A">
      <w:pPr>
        <w:pStyle w:val="BodyText"/>
      </w:pPr>
      <w:r>
        <w:lastRenderedPageBreak/>
        <w:t>Э</w:t>
      </w:r>
      <w:r w:rsidR="00000000">
        <w:t xml:space="preserve">нд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E</m:t>
            </m:r>
          </m:sup>
        </m:sSubSup>
      </m:oMath>
      <w:r w:rsidR="00000000">
        <w:t xml:space="preserve"> хүчин зүйлийн нийт бүтээмжийн стохастик процесс, нэгтгэсэн хөдөлмөр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P</m:t>
                    </m:r>
                  </m:sup>
                </m:sSubSup>
              </m:e>
            </m:d>
          </m:e>
          <m:sup>
            <m:r>
              <w:rPr>
                <w:rFonts w:ascii="Cambria Math" w:hAnsi="Cambria Math"/>
              </w:rPr>
              <m:t>μ</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I</m:t>
                    </m:r>
                  </m:sup>
                </m:sSubSup>
              </m:e>
            </m:d>
          </m:e>
          <m:sup>
            <m:r>
              <w:rPr>
                <w:rFonts w:ascii="Cambria Math" w:hAnsi="Cambria Math"/>
              </w:rPr>
              <m:t>1</m:t>
            </m:r>
            <m:r>
              <m:rPr>
                <m:sty m:val="p"/>
              </m:rPr>
              <w:rPr>
                <w:rFonts w:ascii="Cambria Math" w:hAnsi="Cambria Math"/>
              </w:rPr>
              <m:t>-</m:t>
            </m:r>
            <m:r>
              <w:rPr>
                <w:rFonts w:ascii="Cambria Math" w:hAnsi="Cambria Math"/>
              </w:rPr>
              <m:t>μ</m:t>
            </m:r>
          </m:sup>
        </m:sSup>
      </m:oMath>
      <w:r w:rsidR="00000000">
        <w:t xml:space="preserve"> </w:t>
      </w:r>
      <w:r w:rsidR="00616D25">
        <w:t xml:space="preserve">гэсэн фунцээр өгөгдөх </w:t>
      </w:r>
      <w:r w:rsidR="00000000">
        <w:t xml:space="preserve">бөгөөд </w:t>
      </w:r>
      <m:oMath>
        <m:r>
          <w:rPr>
            <w:rFonts w:ascii="Cambria Math" w:hAnsi="Cambria Math"/>
          </w:rPr>
          <m:t>μ</m:t>
        </m:r>
      </m:oMath>
      <w:r w:rsidR="00000000">
        <w:t xml:space="preserve"> параметр тэвчээртэй өрхийн хөдөлмөрийн орлогод эзлэх хувийг хэмжинэ.</w:t>
      </w:r>
    </w:p>
    <w:p w14:paraId="4E0785B6" w14:textId="672A7B63" w:rsidR="00EC6BCD" w:rsidRDefault="00000000">
      <w:pPr>
        <w:pStyle w:val="BodyText"/>
      </w:pPr>
      <w:r>
        <w:t>Аж ахуй эрхлэгчийн зээл барьцааны үнэ цэнээр хязгаарлагдах бөгөөд өрхөөс ялгаатай нь барьцаа нь орон сууц бус, эзэмшиж буй физик капитал байна</w:t>
      </w:r>
      <w:r w:rsidR="00616D25">
        <w:t>.</w:t>
      </w:r>
    </w:p>
    <w:p w14:paraId="11A184F7" w14:textId="77777777" w:rsidR="00EC6BCD" w:rsidRDefault="00000000">
      <w:pPr>
        <w:pStyle w:val="BodyText"/>
      </w:pPr>
      <m:oMathPara>
        <m:oMathParaPr>
          <m:jc m:val="center"/>
        </m:oMathParaPr>
        <m:oMath>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bE</m:t>
                  </m:r>
                </m:sup>
              </m:sSubSup>
            </m:e>
          </m:d>
          <m:sSubSup>
            <m:sSubSupPr>
              <m:ctrlPr>
                <w:rPr>
                  <w:rFonts w:ascii="Cambria Math" w:hAnsi="Cambria Math"/>
                </w:rPr>
              </m:ctrlPr>
            </m:sSubSupPr>
            <m:e>
              <m:r>
                <w:rPr>
                  <w:rFonts w:ascii="Cambria Math" w:hAnsi="Cambria Math"/>
                </w:rPr>
                <m:t>b</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i</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E</m:t>
              </m:r>
            </m:sup>
          </m:sSubSup>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k</m:t>
                  </m:r>
                </m:sup>
              </m:sSubSup>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i</m:t>
                  </m:r>
                </m:e>
              </m:d>
            </m:e>
          </m:d>
        </m:oMath>
      </m:oMathPara>
    </w:p>
    <w:p w14:paraId="7C76B624" w14:textId="77777777" w:rsidR="00EC6BCD" w:rsidRDefault="00000000">
      <w:pPr>
        <w:pStyle w:val="FirstParagraph"/>
      </w:pPr>
      <w:r>
        <w:t>(2.13)</w:t>
      </w:r>
    </w:p>
    <w:p w14:paraId="71368F0B" w14:textId="64431644" w:rsidR="00EC6BCD" w:rsidRDefault="00000000">
      <w:pPr>
        <w:pStyle w:val="BodyText"/>
      </w:pPr>
      <w:r>
        <w:t xml:space="preserve">энд </w:t>
      </w:r>
      <m:oMath>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E</m:t>
            </m:r>
          </m:sup>
        </m:sSubSup>
      </m:oMath>
      <w:r>
        <w:t xml:space="preserve"> стохастик зээл-барьцааны харьцаа юм. Барьцааг капиталаар тодорхойлсон нь пүүсийн зээлжих чадварыг балансын нийт байдлаар үнэлдэг практиктай илүү нийцнэ. Оновчлолын нөхцөлүүд төсвийн хязгаарлалт, тэнцвэрт төлөвийн орчимд үргэлж хүчин төгөлдөр байх зээлийн хязгаарлалт, мөн дараах эхний эрэмбийн нөхцөлүүдээс бүрдэнэ</w:t>
      </w:r>
      <w:r w:rsidR="00966D9E">
        <w:t>.</w:t>
      </w:r>
    </w:p>
    <w:p w14:paraId="551A7E86" w14:textId="77777777" w:rsidR="00EC6BC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E</m:t>
              </m:r>
            </m:sup>
          </m:sSub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num>
            <m:den>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E</m:t>
                  </m:r>
                </m:sup>
              </m:sSub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E</m:t>
                  </m:r>
                </m:sup>
              </m:sSup>
              <m:sSubSup>
                <m:sSubSupPr>
                  <m:ctrlPr>
                    <w:rPr>
                      <w:rFonts w:ascii="Cambria Math" w:hAnsi="Cambria Math"/>
                    </w:rPr>
                  </m:ctrlPr>
                </m:sSubSup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den>
          </m:f>
        </m:oMath>
      </m:oMathPara>
    </w:p>
    <w:p w14:paraId="7474B950" w14:textId="77777777" w:rsidR="00EC6BCD" w:rsidRDefault="00000000">
      <w:pPr>
        <w:pStyle w:val="FirstParagraph"/>
      </w:pPr>
      <w:r>
        <w:t>(2.14)</w:t>
      </w:r>
    </w:p>
    <w:p w14:paraId="3CF61BB6" w14:textId="77777777" w:rsidR="00EC6BC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E</m:t>
              </m:r>
            </m:sup>
          </m:sSubSup>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E</m:t>
                  </m:r>
                </m:sup>
              </m:sSubSup>
              <m:sSubSup>
                <m:sSubSupPr>
                  <m:ctrlPr>
                    <w:rPr>
                      <w:rFonts w:ascii="Cambria Math" w:hAnsi="Cambria Math"/>
                    </w:rPr>
                  </m:ctrlPr>
                </m:sSubSupPr>
                <m:e>
                  <m:r>
                    <w:rPr>
                      <w:rFonts w:ascii="Cambria Math" w:hAnsi="Cambria Math"/>
                    </w:rPr>
                    <m:t>m</m:t>
                  </m:r>
                </m:e>
                <m:sub>
                  <m:r>
                    <w:rPr>
                      <w:rFonts w:ascii="Cambria Math" w:hAnsi="Cambria Math"/>
                    </w:rPr>
                    <m:t>t</m:t>
                  </m:r>
                </m:sub>
                <m:sup>
                  <m:r>
                    <w:rPr>
                      <w:rFonts w:ascii="Cambria Math" w:hAnsi="Cambria Math"/>
                    </w:rPr>
                    <m:t>E</m:t>
                  </m:r>
                </m:sup>
              </m:sSubSup>
              <m:sSubSup>
                <m:sSubSupPr>
                  <m:ctrlPr>
                    <w:rPr>
                      <w:rFonts w:ascii="Cambria Math" w:hAnsi="Cambria Math"/>
                    </w:rPr>
                  </m:ctrlPr>
                </m:sSubSup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k</m:t>
                  </m:r>
                </m:sup>
              </m:sSubSup>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k</m:t>
                      </m:r>
                    </m:sup>
                  </m:sSubSup>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k</m:t>
                      </m:r>
                    </m:sup>
                  </m:sSub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1</m:t>
                          </m:r>
                        </m:sub>
                      </m:sSub>
                    </m:e>
                  </m:d>
                </m:e>
              </m:d>
            </m:e>
          </m:d>
        </m:oMath>
      </m:oMathPara>
    </w:p>
    <w:p w14:paraId="4891F374" w14:textId="77777777" w:rsidR="00EC6BCD" w:rsidRDefault="00000000">
      <w:pPr>
        <w:pStyle w:val="FirstParagraph"/>
      </w:pPr>
      <w:r>
        <w:t>(2.15)</w:t>
      </w:r>
    </w:p>
    <w:p w14:paraId="223576EB" w14:textId="77777777" w:rsidR="00EC6BC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1</m:t>
              </m:r>
            </m:e>
          </m:d>
        </m:oMath>
      </m:oMathPara>
    </w:p>
    <w:p w14:paraId="781FDDAC" w14:textId="77777777" w:rsidR="00EC6BCD" w:rsidRDefault="00000000">
      <w:pPr>
        <w:pStyle w:val="FirstParagraph"/>
      </w:pPr>
      <w:r>
        <w:t>(2.16)</w:t>
      </w:r>
    </w:p>
    <w:p w14:paraId="79881A8C" w14:textId="77777777" w:rsidR="00EC6BC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P</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E</m:t>
                  </m:r>
                </m:sup>
              </m:sSubSup>
            </m:num>
            <m:den>
              <m:sSub>
                <m:sSubPr>
                  <m:ctrlPr>
                    <w:rPr>
                      <w:rFonts w:ascii="Cambria Math" w:hAnsi="Cambria Math"/>
                    </w:rPr>
                  </m:ctrlPr>
                </m:sSubPr>
                <m:e>
                  <m:r>
                    <w:rPr>
                      <w:rFonts w:ascii="Cambria Math" w:hAnsi="Cambria Math"/>
                    </w:rPr>
                    <m:t>x</m:t>
                  </m:r>
                </m:e>
                <m:sub>
                  <m:r>
                    <w:rPr>
                      <w:rFonts w:ascii="Cambria Math" w:hAnsi="Cambria Math"/>
                    </w:rPr>
                    <m:t>t</m:t>
                  </m:r>
                </m:sub>
              </m:sSub>
            </m:den>
          </m:f>
          <m:f>
            <m:fPr>
              <m:ctrlPr>
                <w:rPr>
                  <w:rFonts w:ascii="Cambria Math" w:hAnsi="Cambria Math"/>
                </w:rPr>
              </m:ctrlPr>
            </m:fPr>
            <m:num>
              <m:r>
                <w:rPr>
                  <w:rFonts w:ascii="Cambria Math" w:hAnsi="Cambria Math"/>
                </w:rPr>
                <m:t>μ</m:t>
              </m:r>
            </m:num>
            <m:den>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P</m:t>
                  </m:r>
                </m:sup>
              </m:sSub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E</m:t>
                  </m:r>
                </m:sup>
              </m:sSubSup>
            </m:num>
            <m:den>
              <m:sSub>
                <m:sSubPr>
                  <m:ctrlPr>
                    <w:rPr>
                      <w:rFonts w:ascii="Cambria Math" w:hAnsi="Cambria Math"/>
                    </w:rPr>
                  </m:ctrlPr>
                </m:sSubPr>
                <m:e>
                  <m:r>
                    <w:rPr>
                      <w:rFonts w:ascii="Cambria Math" w:hAnsi="Cambria Math"/>
                    </w:rPr>
                    <m:t>x</m:t>
                  </m:r>
                </m:e>
                <m:sub>
                  <m:r>
                    <w:rPr>
                      <w:rFonts w:ascii="Cambria Math" w:hAnsi="Cambria Math"/>
                    </w:rPr>
                    <m:t>t</m:t>
                  </m:r>
                </m:sub>
              </m:sSub>
            </m:den>
          </m:f>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μ</m:t>
              </m:r>
            </m:num>
            <m:den>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r>
                    <m:rPr>
                      <m:sty m:val="p"/>
                    </m:rPr>
                    <w:rPr>
                      <w:rFonts w:ascii="Cambria Math" w:hAnsi="Cambria Math"/>
                    </w:rPr>
                    <m:t>,</m:t>
                  </m:r>
                  <m:r>
                    <w:rPr>
                      <w:rFonts w:ascii="Cambria Math" w:hAnsi="Cambria Math"/>
                    </w:rPr>
                    <m:t>I</m:t>
                  </m:r>
                </m:sup>
              </m:sSubSup>
            </m:den>
          </m:f>
        </m:oMath>
      </m:oMathPara>
    </w:p>
    <w:p w14:paraId="756F71DB" w14:textId="77777777" w:rsidR="00EC6BCD" w:rsidRDefault="00000000">
      <w:pPr>
        <w:pStyle w:val="FirstParagraph"/>
      </w:pPr>
      <w:r>
        <w:t>(2.17)</w:t>
      </w:r>
    </w:p>
    <w:p w14:paraId="4F6FC848" w14:textId="77777777" w:rsidR="00EC6BC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E</m:t>
              </m:r>
            </m:sup>
          </m:sSub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bE</m:t>
                  </m:r>
                </m:sup>
              </m:sSubSup>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bE</m:t>
                      </m:r>
                    </m:sup>
                  </m:sSubSup>
                </m:num>
                <m:den>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en>
              </m:f>
            </m:e>
          </m:d>
        </m:oMath>
      </m:oMathPara>
    </w:p>
    <w:p w14:paraId="0E635763" w14:textId="77777777" w:rsidR="00EC6BCD" w:rsidRDefault="00000000">
      <w:pPr>
        <w:pStyle w:val="FirstParagraph"/>
      </w:pPr>
      <w:r>
        <w:t>(2.18)</w:t>
      </w:r>
    </w:p>
    <w:p w14:paraId="141C33A7" w14:textId="1E9A7356" w:rsidR="00EC6BCD" w:rsidRDefault="00966D9E">
      <w:pPr>
        <w:pStyle w:val="BodyText"/>
      </w:pPr>
      <w:r>
        <w:t>Э</w:t>
      </w:r>
      <w:r w:rsidR="00000000">
        <w:t xml:space="preserve">нд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k</m:t>
            </m:r>
          </m:sup>
        </m:sSubSup>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E</m:t>
            </m:r>
          </m:sup>
        </m:sSubSup>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sSub>
                  <m:sSubPr>
                    <m:ctrlPr>
                      <w:rPr>
                        <w:rFonts w:ascii="Cambria Math" w:hAnsi="Cambria Math"/>
                      </w:rPr>
                    </m:ctrlPr>
                  </m:sSubPr>
                  <m:e>
                    <m:r>
                      <w:rPr>
                        <w:rFonts w:ascii="Cambria Math" w:hAnsi="Cambria Math"/>
                      </w:rPr>
                      <m:t>u</m:t>
                    </m:r>
                  </m:e>
                  <m:sub>
                    <m:r>
                      <w:rPr>
                        <w:rFonts w:ascii="Cambria Math" w:hAnsi="Cambria Math"/>
                      </w:rPr>
                      <m:t>t</m:t>
                    </m:r>
                  </m:sub>
                </m:sSub>
              </m:e>
            </m:d>
          </m:e>
          <m:sup>
            <m:r>
              <w:rPr>
                <w:rFonts w:ascii="Cambria Math" w:hAnsi="Cambria Math"/>
              </w:rPr>
              <m:t>α</m:t>
            </m:r>
            <m:r>
              <m:rPr>
                <m:sty m:val="p"/>
              </m:rPr>
              <w:rPr>
                <w:rFonts w:ascii="Cambria Math" w:hAnsi="Cambria Math"/>
              </w:rPr>
              <m:t>-</m:t>
            </m:r>
            <m:r>
              <w:rPr>
                <w:rFonts w:ascii="Cambria Math" w:hAnsi="Cambria Math"/>
              </w:rPr>
              <m:t>1</m:t>
            </m:r>
          </m:sup>
        </m:sSup>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E</m:t>
            </m:r>
          </m:sup>
        </m:sSubSup>
        <m:sSup>
          <m:sSupPr>
            <m:ctrlPr>
              <w:rPr>
                <w:rFonts w:ascii="Cambria Math" w:hAnsi="Cambria Math"/>
              </w:rPr>
            </m:ctrlPr>
          </m:sSupPr>
          <m:e>
            <m:d>
              <m:dPr>
                <m:ctrlPr>
                  <w:rPr>
                    <w:rFonts w:ascii="Cambria Math" w:hAnsi="Cambria Math"/>
                  </w:rPr>
                </m:ctrlPr>
              </m:dPr>
              <m:e>
                <m:r>
                  <w:rPr>
                    <w:rFonts w:ascii="Cambria Math" w:hAnsi="Cambria Math"/>
                  </w:rPr>
                  <m:t>i</m:t>
                </m:r>
              </m:e>
            </m:d>
          </m:e>
          <m:sup>
            <m:r>
              <w:rPr>
                <w:rFonts w:ascii="Cambria Math" w:hAnsi="Cambria Math"/>
              </w:rPr>
              <m:t>1</m:t>
            </m:r>
            <m:r>
              <m:rPr>
                <m:sty m:val="p"/>
              </m:rPr>
              <w:rPr>
                <w:rFonts w:ascii="Cambria Math" w:hAnsi="Cambria Math"/>
              </w:rPr>
              <m:t>-</m:t>
            </m:r>
            <m:r>
              <w:rPr>
                <w:rFonts w:ascii="Cambria Math" w:hAnsi="Cambria Math"/>
              </w:rPr>
              <m:t>α</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t>
      </w:r>
      <w:r w:rsidR="00000000">
        <w:t xml:space="preserve">капиталын түрээсийн хувь хэмжээ,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E</m:t>
            </m:r>
          </m:sup>
        </m:sSubSup>
      </m:oMath>
      <w:r w:rsidR="00000000">
        <w:t xml:space="preserve"> зээлийн хязгаарлалтын үржүүлэгч</w:t>
      </w:r>
      <w:r>
        <w:t xml:space="preserve"> болно</w:t>
      </w:r>
      <w:r w:rsidR="00000000">
        <w:t>. Эдгээр нөхц</w:t>
      </w:r>
      <w:r>
        <w:t>ө</w:t>
      </w:r>
      <w:r w:rsidR="00000000">
        <w:t xml:space="preserve">лийг товч тайлбарлая. (2.14) </w:t>
      </w:r>
      <w:r>
        <w:t>нөхцөл</w:t>
      </w:r>
      <w:r w:rsidR="00000000">
        <w:t xml:space="preserve"> хэрэглээний ахиуц ханамжийг тодорхой</w:t>
      </w:r>
      <w:r>
        <w:t>лох бол</w:t>
      </w:r>
      <w:r w:rsidR="00000000">
        <w:t xml:space="preserve"> (2.15) капиталын сонголтыг зохицуулах бөгөөд түүний баруун гар талд капиталын хоёр төрлийн өгөөж илэрнэ: барьцааны үнэ цэнийг нэмэгдүүлж зээлийн боломжийг тэлэх үр өгөөж (эхний гишүүн), мөн үйлдвэрлэлд оролцож түрээсийн орлого өгөх, дараа үед элэгдээгүй хэсэг нь үлдэх үр өгөөж (хоёр дахь гишүүн).</w:t>
      </w:r>
      <w:r>
        <w:t xml:space="preserve"> Цаашилбал,</w:t>
      </w:r>
      <w:r w:rsidR="00000000">
        <w:t xml:space="preserve"> (2.16) ашиглалтын түвшний оновчлол бөгөөд ашиглалтыг нэмэгдүүлснээр олох ахиуц орлого ахиуц зардалтай тэнцүү байхыг шаардана. (2.17) </w:t>
      </w:r>
      <w:r>
        <w:t>нөхцөл</w:t>
      </w:r>
      <w:r w:rsidR="00000000">
        <w:t xml:space="preserve"> хоёр төрлийн хөдөлмөрийн эрэлтийн </w:t>
      </w:r>
      <w:r w:rsidR="00000000">
        <w:lastRenderedPageBreak/>
        <w:t>нөхцөл</w:t>
      </w:r>
      <w:r>
        <w:t>ийг илэрхийлэх бол</w:t>
      </w:r>
      <w:r w:rsidR="00000000">
        <w:t xml:space="preserve"> (2.18) зээлийн оновчлолын нөхцөл</w:t>
      </w:r>
      <w:r>
        <w:t>,</w:t>
      </w:r>
      <w:r w:rsidR="00000000">
        <w:t xml:space="preserv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E</m:t>
            </m:r>
          </m:sup>
        </m:sSubSup>
        <m:r>
          <m:rPr>
            <m:sty m:val="p"/>
          </m:rPr>
          <w:rPr>
            <w:rFonts w:ascii="Cambria Math" w:hAnsi="Cambria Math"/>
          </w:rPr>
          <m:t>&gt;</m:t>
        </m:r>
        <m:r>
          <w:rPr>
            <w:rFonts w:ascii="Cambria Math" w:hAnsi="Cambria Math"/>
          </w:rPr>
          <m:t>0</m:t>
        </m:r>
      </m:oMath>
      <w:r w:rsidR="00000000">
        <w:t xml:space="preserve"> байх нь аж ахуй эрхлэгчийн хувьд зээлийн бодит өртөг зах зээлийн хүүнээс өндөр байхыг илэрхийлнэ.</w:t>
      </w:r>
    </w:p>
    <w:p w14:paraId="18F65A79" w14:textId="77777777" w:rsidR="00EC6BCD" w:rsidRDefault="00000000">
      <w:pPr>
        <w:pStyle w:val="Heading2"/>
      </w:pPr>
      <w:bookmarkStart w:id="2" w:name="капитал-үйлдвэрлэгч"/>
      <w:bookmarkEnd w:id="1"/>
      <w:r>
        <w:t>2.2.2 Капитал үйлдвэрлэгч</w:t>
      </w:r>
    </w:p>
    <w:p w14:paraId="3DF98E67" w14:textId="2F750FA1" w:rsidR="00EC6BCD" w:rsidRDefault="00000000">
      <w:pPr>
        <w:pStyle w:val="FirstParagraph"/>
      </w:pPr>
      <w:r>
        <w:t xml:space="preserve">Төгс өрсөлдөөнт капитал үйлдвэрлэгч өмнөх үеийн элэгдээгүй капиталыг аж ахуй эрхлэгчээс, эцсийн бүтээгдэхүүнийг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хэмжээгээр жижиглэн худалдаалагчаас худалдан авч, шинэ капитал бүтээн аж ахуй эрхлэгчид буцаан борлуулна. </w:t>
      </w:r>
      <w:r w:rsidR="00A15DA2">
        <w:t>Энэ х</w:t>
      </w:r>
      <w:r>
        <w:t>увиргалт зохицуулалтын зардалтай тул капиталын хуримтлал дараах хэлбэртэй болно</w:t>
      </w:r>
      <w:r w:rsidR="00A15DA2">
        <w:t>.</w:t>
      </w:r>
    </w:p>
    <w:p w14:paraId="29D8D2F8" w14:textId="77777777" w:rsidR="00EC6BCD"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i</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sub>
                          </m:sSub>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qk</m:t>
                              </m:r>
                            </m:sup>
                          </m:sSubSup>
                        </m:num>
                        <m:den>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1</m:t>
                      </m:r>
                    </m:e>
                  </m:d>
                </m:e>
                <m:sup>
                  <m:r>
                    <w:rPr>
                      <w:rFonts w:ascii="Cambria Math" w:hAnsi="Cambria Math"/>
                    </w:rPr>
                    <m:t>2</m:t>
                  </m:r>
                </m:sup>
              </m:sSup>
            </m:e>
          </m:d>
          <m:sSub>
            <m:sSubPr>
              <m:ctrlPr>
                <w:rPr>
                  <w:rFonts w:ascii="Cambria Math" w:hAnsi="Cambria Math"/>
                </w:rPr>
              </m:ctrlPr>
            </m:sSubPr>
            <m:e>
              <m:r>
                <w:rPr>
                  <w:rFonts w:ascii="Cambria Math" w:hAnsi="Cambria Math"/>
                </w:rPr>
                <m:t>i</m:t>
              </m:r>
            </m:e>
            <m:sub>
              <m:r>
                <w:rPr>
                  <w:rFonts w:ascii="Cambria Math" w:hAnsi="Cambria Math"/>
                </w:rPr>
                <m:t>t</m:t>
              </m:r>
            </m:sub>
          </m:sSub>
        </m:oMath>
      </m:oMathPara>
    </w:p>
    <w:p w14:paraId="7E224DDB" w14:textId="77777777" w:rsidR="00EC6BCD" w:rsidRDefault="00000000">
      <w:pPr>
        <w:pStyle w:val="FirstParagraph"/>
      </w:pPr>
      <w:r>
        <w:t>(2.19)</w:t>
      </w:r>
    </w:p>
    <w:p w14:paraId="0511BBA1" w14:textId="2D5D808B" w:rsidR="00EC6BCD" w:rsidRDefault="00A15DA2">
      <w:pPr>
        <w:pStyle w:val="BodyText"/>
      </w:pPr>
      <w:r>
        <w:t>Нэгдүгээр</w:t>
      </w:r>
      <w:r w:rsidR="00000000">
        <w:t xml:space="preserve"> эрэмбийн нөхц</w:t>
      </w:r>
      <w:r>
        <w:t>ө</w:t>
      </w:r>
      <w:r w:rsidR="00000000">
        <w:t>лөөс капиталын бодит үнэ дараах байдлаар тодорхойлогдоно</w:t>
      </w:r>
      <w:r>
        <w:t>.</w:t>
      </w:r>
    </w:p>
    <w:p w14:paraId="1457C6B7" w14:textId="77777777" w:rsidR="00EC6BCD" w:rsidRDefault="00000000">
      <w:pPr>
        <w:pStyle w:val="BodyText"/>
      </w:pPr>
      <m:oMathPara>
        <m:oMathParaPr>
          <m:jc m:val="center"/>
        </m:oMathParaP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k</m:t>
              </m:r>
            </m:sup>
          </m:sSubSup>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i</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sub>
                          </m:sSub>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qk</m:t>
                              </m:r>
                            </m:sup>
                          </m:sSubSup>
                        </m:num>
                        <m:den>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sub>
                      </m:sSub>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qk</m:t>
                          </m:r>
                        </m:sup>
                      </m:sSubSup>
                    </m:num>
                    <m:den>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1</m:t>
                  </m:r>
                </m:e>
              </m:d>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sub>
                  </m:sSub>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qk</m:t>
                      </m:r>
                    </m:sup>
                  </m:sSubSup>
                </m:num>
                <m:den>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E</m:t>
                      </m:r>
                    </m:sup>
                  </m:sSubSup>
                </m:num>
                <m:den>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E</m:t>
                      </m:r>
                    </m:sup>
                  </m:sSubSup>
                </m:den>
              </m:f>
              <m:sSubSup>
                <m:sSubSupPr>
                  <m:ctrlPr>
                    <w:rPr>
                      <w:rFonts w:ascii="Cambria Math" w:hAnsi="Cambria Math"/>
                    </w:rPr>
                  </m:ctrlPr>
                </m:sSubSup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k</m:t>
                  </m:r>
                </m:sup>
              </m:sSubSup>
              <m:sSubSup>
                <m:sSubSupPr>
                  <m:ctrlPr>
                    <w:rPr>
                      <w:rFonts w:ascii="Cambria Math" w:hAnsi="Cambria Math"/>
                    </w:rPr>
                  </m:ctrlPr>
                </m:sSubSup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qk</m:t>
                  </m:r>
                </m:sup>
              </m:sSubSup>
              <m:sSub>
                <m:sSubPr>
                  <m:ctrlPr>
                    <w:rPr>
                      <w:rFonts w:ascii="Cambria Math" w:hAnsi="Cambria Math"/>
                    </w:rPr>
                  </m:ctrlPr>
                </m:sSubPr>
                <m:e>
                  <m:r>
                    <w:rPr>
                      <w:rFonts w:ascii="Cambria Math" w:hAnsi="Cambria Math"/>
                    </w:rPr>
                    <m:t>κ</m:t>
                  </m:r>
                </m:e>
                <m:sub>
                  <m:r>
                    <w:rPr>
                      <w:rFonts w:ascii="Cambria Math" w:hAnsi="Cambria Math"/>
                    </w:rPr>
                    <m:t>i</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sSubSup>
                        <m:sSubSupPr>
                          <m:ctrlPr>
                            <w:rPr>
                              <w:rFonts w:ascii="Cambria Math" w:hAnsi="Cambria Math"/>
                            </w:rPr>
                          </m:ctrlPr>
                        </m:sSubSup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qk</m:t>
                          </m:r>
                        </m:sup>
                      </m:sSubSup>
                    </m:num>
                    <m:den>
                      <m:sSub>
                        <m:sSubPr>
                          <m:ctrlPr>
                            <w:rPr>
                              <w:rFonts w:ascii="Cambria Math" w:hAnsi="Cambria Math"/>
                            </w:rPr>
                          </m:ctrlPr>
                        </m:sSubPr>
                        <m:e>
                          <m:r>
                            <w:rPr>
                              <w:rFonts w:ascii="Cambria Math" w:hAnsi="Cambria Math"/>
                            </w:rPr>
                            <m:t>i</m:t>
                          </m:r>
                        </m:e>
                        <m:sub>
                          <m:r>
                            <w:rPr>
                              <w:rFonts w:ascii="Cambria Math" w:hAnsi="Cambria Math"/>
                            </w:rPr>
                            <m:t>t</m:t>
                          </m:r>
                        </m:sub>
                      </m:sSub>
                    </m:den>
                  </m:f>
                  <m:r>
                    <m:rPr>
                      <m:sty m:val="p"/>
                    </m:rPr>
                    <w:rPr>
                      <w:rFonts w:ascii="Cambria Math" w:hAnsi="Cambria Math"/>
                    </w:rPr>
                    <m:t>-</m:t>
                  </m:r>
                  <m:r>
                    <w:rPr>
                      <w:rFonts w:ascii="Cambria Math" w:hAnsi="Cambria Math"/>
                    </w:rPr>
                    <m:t>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t</m:t>
                              </m:r>
                            </m:sub>
                          </m:sSub>
                        </m:den>
                      </m:f>
                    </m:e>
                  </m:d>
                </m:e>
                <m:sup>
                  <m:r>
                    <w:rPr>
                      <w:rFonts w:ascii="Cambria Math" w:hAnsi="Cambria Math"/>
                    </w:rPr>
                    <m:t>2</m:t>
                  </m:r>
                </m:sup>
              </m:sSup>
            </m:e>
          </m:d>
        </m:oMath>
      </m:oMathPara>
    </w:p>
    <w:p w14:paraId="066F08F1" w14:textId="77777777" w:rsidR="00EC6BCD" w:rsidRDefault="00000000">
      <w:pPr>
        <w:pStyle w:val="FirstParagraph"/>
      </w:pPr>
      <w:r>
        <w:t>(2.20)</w:t>
      </w:r>
    </w:p>
    <w:p w14:paraId="6CB6AA57" w14:textId="3F854ADE" w:rsidR="00EC6BCD" w:rsidRDefault="00A15DA2">
      <w:pPr>
        <w:pStyle w:val="BodyText"/>
      </w:pPr>
      <w:r>
        <w:t>Э</w:t>
      </w:r>
      <w:r w:rsidR="00000000">
        <w:t xml:space="preserve">нд </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00000000">
        <w:t xml:space="preserve"> хөрөнгө оруулалтын зохицуулалтын зардлын параметр, </w:t>
      </w:r>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qk</m:t>
            </m:r>
          </m:sup>
        </m:sSubSup>
      </m:oMath>
      <w:r w:rsidR="00000000">
        <w:t xml:space="preserve"> хөрөнгө оруулалтын үр ашгийн шок </w:t>
      </w:r>
      <w:r>
        <w:t>болно</w:t>
      </w:r>
      <w:r w:rsidR="00000000">
        <w:t xml:space="preserve">. (2.20) </w:t>
      </w:r>
      <w:r>
        <w:t xml:space="preserve">тэгшитгэл </w:t>
      </w:r>
      <w:r w:rsidR="00000000">
        <w:t>хөрөнгө оруулалтын ахиуц зардлыг капиталын үнэтэй тэнцүүл</w:t>
      </w:r>
      <w:r>
        <w:t>эх бөгөөд</w:t>
      </w:r>
      <w:r w:rsidR="00000000">
        <w:t xml:space="preserve"> баруун гар талын эхний гишүүн тухайн үеийн, хоёр дахь гишүүн ирээдүйн зохицуулалтын зардлыг </w:t>
      </w:r>
      <w:r>
        <w:t>зардлыг тус тус илэрхийлнэ</w:t>
      </w:r>
      <w:r w:rsidR="00000000">
        <w:t>. Зохицуулалтын зардал байхгүй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0</m:t>
        </m:r>
      </m:oMath>
      <w:r w:rsidR="00000000">
        <w:t xml:space="preserve">) тохиолдолд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k</m:t>
            </m:r>
          </m:sup>
        </m:sSubSup>
        <m:r>
          <m:rPr>
            <m:sty m:val="p"/>
          </m:rPr>
          <w:rPr>
            <w:rFonts w:ascii="Cambria Math" w:hAnsi="Cambria Math"/>
          </w:rPr>
          <m:t>=</m:t>
        </m:r>
        <m:r>
          <w:rPr>
            <w:rFonts w:ascii="Cambria Math" w:hAnsi="Cambria Math"/>
          </w:rPr>
          <m:t>1</m:t>
        </m:r>
      </m:oMath>
      <w:r w:rsidR="00000000">
        <w:t xml:space="preserve"> болох тул уг агентыг загварт оруулсны зорилго нь капиталын зах зээлийн үнийг эндогенээр тодорхойлох явдал юм.</w:t>
      </w:r>
    </w:p>
    <w:p w14:paraId="36B1AC90" w14:textId="77777777" w:rsidR="00EC6BCD" w:rsidRDefault="00000000">
      <w:pPr>
        <w:pStyle w:val="Heading2"/>
      </w:pPr>
      <w:bookmarkStart w:id="3" w:name="эцсийн-бүтээгдэхүүн-үйлдвэрлэгч"/>
      <w:bookmarkEnd w:id="2"/>
      <w:r>
        <w:t>2.2.3 Эцсийн бүтээгдэхүүн үйлдвэрлэгч</w:t>
      </w:r>
    </w:p>
    <w:p w14:paraId="5935EBF3" w14:textId="116F84EC" w:rsidR="00EC6BCD" w:rsidRDefault="00000000">
      <w:pPr>
        <w:pStyle w:val="FirstParagraph"/>
      </w:pPr>
      <w:r>
        <w:t xml:space="preserve">Жижиглэн худалдаалагчид дундын барааг аж ахуй эрхлэгчээс төгс өрсөлдөөнт зах зээл дээр худалдан авч, ялгаварлан монопольт өрсөлдөөнт зах зээл дээр борлуулна. Тэдгээрийн үнэ зууралттай бөгөөд өмнөх үеийн болон тогтвортой төлөвийн инфляцын жигнэсэн дунджид индексжинэ (харьцангуй жинг </w:t>
      </w:r>
      <m:oMath>
        <m:sSub>
          <m:sSubPr>
            <m:ctrlPr>
              <w:rPr>
                <w:rFonts w:ascii="Cambria Math" w:hAnsi="Cambria Math"/>
              </w:rPr>
            </m:ctrlPr>
          </m:sSubPr>
          <m:e>
            <m:r>
              <w:rPr>
                <w:rFonts w:ascii="Cambria Math" w:hAnsi="Cambria Math"/>
              </w:rPr>
              <m:t>ι</m:t>
            </m:r>
          </m:e>
          <m:sub>
            <m:r>
              <w:rPr>
                <w:rFonts w:ascii="Cambria Math" w:hAnsi="Cambria Math"/>
              </w:rPr>
              <m:t>p</m:t>
            </m:r>
          </m:sub>
        </m:sSub>
      </m:oMath>
      <w:r>
        <w:t xml:space="preserve"> тодорхойлно). Индексжилтээс давуулан үнээ өөрчлөхийг хүсвэл </w:t>
      </w:r>
      <m:oMath>
        <m:sSub>
          <m:sSubPr>
            <m:ctrlPr>
              <w:rPr>
                <w:rFonts w:ascii="Cambria Math" w:hAnsi="Cambria Math"/>
              </w:rPr>
            </m:ctrlPr>
          </m:sSubPr>
          <m:e>
            <m:r>
              <w:rPr>
                <w:rFonts w:ascii="Cambria Math" w:hAnsi="Cambria Math"/>
              </w:rPr>
              <m:t>κ</m:t>
            </m:r>
          </m:e>
          <m:sub>
            <m:r>
              <w:rPr>
                <w:rFonts w:ascii="Cambria Math" w:hAnsi="Cambria Math"/>
              </w:rPr>
              <m:t>p</m:t>
            </m:r>
          </m:sub>
        </m:sSub>
      </m:oMath>
      <w:r>
        <w:t xml:space="preserve"> параметрээр тодорхойлогдох квадрат зохицуулалтын зардал төлнө. Симметр тэнцвэрт эхний эрэмбийн нөхцөл нь шугаман бус Филлипсийн муруй болно</w:t>
      </w:r>
      <w:r w:rsidR="00A14CF8">
        <w:t>.</w:t>
      </w:r>
    </w:p>
    <w:p w14:paraId="04A9A8BD" w14:textId="77777777" w:rsidR="00EC6BCD" w:rsidRDefault="00000000">
      <w:pPr>
        <w:pStyle w:val="BodyText"/>
      </w:pPr>
      <m:oMathPara>
        <m:oMathParaPr>
          <m:jc m:val="center"/>
        </m:oMathParaPr>
        <m:oMath>
          <m:r>
            <w:rPr>
              <w:rFonts w:ascii="Cambria Math" w:hAnsi="Cambria Math"/>
            </w:rPr>
            <w:lastRenderedPageBreak/>
            <m:t>1</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y</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y</m:t>
                  </m:r>
                </m:sup>
              </m:sSubSup>
            </m:num>
            <m:den>
              <m:sSub>
                <m:sSubPr>
                  <m:ctrlPr>
                    <w:rPr>
                      <w:rFonts w:ascii="Cambria Math" w:hAnsi="Cambria Math"/>
                    </w:rPr>
                  </m:ctrlPr>
                </m:sSubPr>
                <m:e>
                  <m:r>
                    <w:rPr>
                      <w:rFonts w:ascii="Cambria Math" w:hAnsi="Cambria Math"/>
                    </w:rPr>
                    <m:t>x</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ι</m:t>
                      </m:r>
                    </m:e>
                    <m:sub>
                      <m:r>
                        <w:rPr>
                          <w:rFonts w:ascii="Cambria Math" w:hAnsi="Cambria Math"/>
                        </w:rPr>
                        <m:t>p</m:t>
                      </m:r>
                    </m:sub>
                  </m:sSub>
                </m:sup>
              </m:sSubSup>
              <m:sSup>
                <m:sSupPr>
                  <m:ctrlPr>
                    <w:rPr>
                      <w:rFonts w:ascii="Cambria Math" w:hAnsi="Cambria Math"/>
                    </w:rPr>
                  </m:ctrlPr>
                </m:sSupPr>
                <m:e>
                  <m:r>
                    <w:rPr>
                      <w:rFonts w:ascii="Cambria Math" w:hAnsi="Cambria Math"/>
                    </w:rPr>
                    <m:t>π</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p</m:t>
                      </m:r>
                    </m:sub>
                  </m:sSub>
                </m:sup>
              </m:sSup>
            </m:e>
          </m:d>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P</m:t>
                      </m:r>
                    </m:sup>
                  </m:sSubSup>
                </m:num>
                <m:den>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P</m:t>
                      </m:r>
                    </m:sup>
                  </m:sSubSup>
                </m:den>
              </m:f>
              <m:sSub>
                <m:sSubPr>
                  <m:ctrlPr>
                    <w:rPr>
                      <w:rFonts w:ascii="Cambria Math" w:hAnsi="Cambria Math"/>
                    </w:rPr>
                  </m:ctrlPr>
                </m:sSubPr>
                <m:e>
                  <m:r>
                    <w:rPr>
                      <w:rFonts w:ascii="Cambria Math" w:hAnsi="Cambria Math"/>
                    </w:rPr>
                    <m:t>κ</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sub>
                    <m:sup>
                      <m:sSub>
                        <m:sSubPr>
                          <m:ctrlPr>
                            <w:rPr>
                              <w:rFonts w:ascii="Cambria Math" w:hAnsi="Cambria Math"/>
                            </w:rPr>
                          </m:ctrlPr>
                        </m:sSubPr>
                        <m:e>
                          <m:r>
                            <w:rPr>
                              <w:rFonts w:ascii="Cambria Math" w:hAnsi="Cambria Math"/>
                            </w:rPr>
                            <m:t>ι</m:t>
                          </m:r>
                        </m:e>
                        <m:sub>
                          <m:r>
                            <w:rPr>
                              <w:rFonts w:ascii="Cambria Math" w:hAnsi="Cambria Math"/>
                            </w:rPr>
                            <m:t>p</m:t>
                          </m:r>
                        </m:sub>
                      </m:sSub>
                    </m:sup>
                  </m:sSubSup>
                  <m:sSup>
                    <m:sSupPr>
                      <m:ctrlPr>
                        <w:rPr>
                          <w:rFonts w:ascii="Cambria Math" w:hAnsi="Cambria Math"/>
                        </w:rPr>
                      </m:ctrlPr>
                    </m:sSupPr>
                    <m:e>
                      <m:r>
                        <w:rPr>
                          <w:rFonts w:ascii="Cambria Math" w:hAnsi="Cambria Math"/>
                        </w:rPr>
                        <m:t>π</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p</m:t>
                          </m:r>
                        </m:sub>
                      </m:sSub>
                    </m:sup>
                  </m:sSup>
                </m:e>
              </m:d>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r>
            <m:rPr>
              <m:sty m:val="p"/>
            </m:rPr>
            <w:rPr>
              <w:rFonts w:ascii="Cambria Math" w:hAnsi="Cambria Math"/>
            </w:rPr>
            <m:t>=</m:t>
          </m:r>
          <m:r>
            <w:rPr>
              <w:rFonts w:ascii="Cambria Math" w:hAnsi="Cambria Math"/>
            </w:rPr>
            <m:t>0</m:t>
          </m:r>
        </m:oMath>
      </m:oMathPara>
    </w:p>
    <w:p w14:paraId="7BBB1DDE" w14:textId="77777777" w:rsidR="00EC6BCD" w:rsidRDefault="00000000">
      <w:pPr>
        <w:pStyle w:val="FirstParagraph"/>
      </w:pPr>
      <w:r>
        <w:t>(2.21)</w:t>
      </w:r>
    </w:p>
    <w:p w14:paraId="5475CB3A" w14:textId="2F0E94F3" w:rsidR="00EC6BCD" w:rsidRDefault="00A14CF8">
      <w:pPr>
        <w:pStyle w:val="BodyText"/>
      </w:pPr>
      <w:r>
        <w:t>Э</w:t>
      </w:r>
      <w:r w:rsidR="00000000">
        <w:t xml:space="preserve">нд </w:t>
      </w:r>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y</m:t>
            </m:r>
          </m:sup>
        </m:sSubSup>
      </m:oMath>
      <w:r w:rsidR="00000000">
        <w:t xml:space="preserve"> эрэлтийн үнийн эластикийн стохастик процесс юм. (2.21) </w:t>
      </w:r>
      <w:r>
        <w:t>нөхцөл</w:t>
      </w:r>
      <w:r w:rsidR="00000000">
        <w:t xml:space="preserve"> одоогийн инфляцыг ахиуц зардал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rsidR="00000000">
        <w:t xml:space="preserve"> болон хүлээгдэж буй инфляцтай холбо</w:t>
      </w:r>
      <w:r>
        <w:t xml:space="preserve">х бөгөөд </w:t>
      </w:r>
      <w:r w:rsidR="00000000">
        <w:t xml:space="preserve">ахиуц зардал өсөх, эсвэл ирээдүйн инфляц өндөр байхаар хүлээгдэх үед пүүс үнээ өнөөдөр нэмэгдүүлнэ. Зохицуулалтын зардал байхгүй үед уг нөхцөл тогтмол </w:t>
      </w:r>
      <w:r>
        <w:t>markup-</w:t>
      </w:r>
      <w:r>
        <w:rPr>
          <w:lang w:val="mn-MN"/>
        </w:rPr>
        <w:t>ийн</w:t>
      </w:r>
      <w:r w:rsidR="00000000">
        <w:t xml:space="preserve"> дүрэм болж хувирна. Жижиглэн худалдаалагчийн нийт ашиг </w:t>
      </w:r>
    </w:p>
    <w:p w14:paraId="46025A65" w14:textId="089F9151" w:rsidR="00EC6BCD" w:rsidRPr="00A14CF8" w:rsidRDefault="00000000">
      <w:pPr>
        <w:pStyle w:val="BodyText"/>
        <w:rPr>
          <w:i/>
        </w:rPr>
      </w:pPr>
      <m:oMathPara>
        <m:oMathParaPr>
          <m:jc m:val="center"/>
        </m:oMathParaPr>
        <m:oMath>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R</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p</m:t>
                      </m:r>
                    </m:sub>
                  </m:sSub>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ι</m:t>
                              </m:r>
                            </m:e>
                            <m:sub>
                              <m:r>
                                <w:rPr>
                                  <w:rFonts w:ascii="Cambria Math" w:hAnsi="Cambria Math"/>
                                </w:rPr>
                                <m:t>p</m:t>
                              </m:r>
                            </m:sub>
                          </m:sSub>
                        </m:sup>
                      </m:sSubSup>
                      <m:sSup>
                        <m:sSupPr>
                          <m:ctrlPr>
                            <w:rPr>
                              <w:rFonts w:ascii="Cambria Math" w:hAnsi="Cambria Math"/>
                            </w:rPr>
                          </m:ctrlPr>
                        </m:sSupPr>
                        <m:e>
                          <m:r>
                            <w:rPr>
                              <w:rFonts w:ascii="Cambria Math" w:hAnsi="Cambria Math"/>
                            </w:rPr>
                            <m:t>π</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p</m:t>
                              </m:r>
                            </m:sub>
                          </m:sSub>
                        </m:sup>
                      </m:sSup>
                    </m:e>
                  </m:d>
                </m:e>
                <m:sup>
                  <m:r>
                    <w:rPr>
                      <w:rFonts w:ascii="Cambria Math" w:hAnsi="Cambria Math"/>
                    </w:rPr>
                    <m:t>2</m:t>
                  </m:r>
                </m:sup>
              </m:sSup>
            </m:e>
          </m:d>
          <m:r>
            <w:rPr>
              <w:rFonts w:ascii="Cambria Math" w:hAnsi="Cambria Math"/>
            </w:rPr>
            <m:t>,</m:t>
          </m:r>
        </m:oMath>
      </m:oMathPara>
    </w:p>
    <w:p w14:paraId="6352A4DD" w14:textId="77777777" w:rsidR="00EC6BCD" w:rsidRDefault="00000000">
      <w:pPr>
        <w:pStyle w:val="FirstParagraph"/>
      </w:pPr>
      <w:r>
        <w:t>(2.22)</w:t>
      </w:r>
    </w:p>
    <w:p w14:paraId="748B99C2" w14:textId="66711E8A" w:rsidR="00EC6BCD" w:rsidRDefault="00A14CF8">
      <w:pPr>
        <w:pStyle w:val="BodyText"/>
      </w:pPr>
      <w:r>
        <w:t xml:space="preserve">болох </w:t>
      </w:r>
      <w:r w:rsidR="00000000">
        <w:t>бөгөөд тэвчээртэй өрхөд ногдол ашиг хэлбэрээр шилжинэ.</w:t>
      </w:r>
      <w:bookmarkEnd w:id="0"/>
      <w:bookmarkEnd w:id="3"/>
    </w:p>
    <w:sectPr w:rsidR="00EC6B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4BFE8" w14:textId="77777777" w:rsidR="006B7C25" w:rsidRDefault="006B7C25">
      <w:pPr>
        <w:spacing w:after="0"/>
      </w:pPr>
      <w:r>
        <w:separator/>
      </w:r>
    </w:p>
  </w:endnote>
  <w:endnote w:type="continuationSeparator" w:id="0">
    <w:p w14:paraId="15DA7D1B" w14:textId="77777777" w:rsidR="006B7C25" w:rsidRDefault="006B7C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77A3A" w14:textId="77777777" w:rsidR="006B7C25" w:rsidRDefault="006B7C25">
      <w:r>
        <w:separator/>
      </w:r>
    </w:p>
  </w:footnote>
  <w:footnote w:type="continuationSeparator" w:id="0">
    <w:p w14:paraId="4F3660D1" w14:textId="77777777" w:rsidR="006B7C25" w:rsidRDefault="006B7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96A1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2083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QwMDczMLQwtTS1MDdU0lEKTi0uzszPAykwrAUAmTjRdCwAAAA="/>
  </w:docVars>
  <w:rsids>
    <w:rsidRoot w:val="00EC6BCD"/>
    <w:rsid w:val="00616D25"/>
    <w:rsid w:val="006B7C25"/>
    <w:rsid w:val="00814D3A"/>
    <w:rsid w:val="00966D9E"/>
    <w:rsid w:val="00A14CF8"/>
    <w:rsid w:val="00A15DA2"/>
    <w:rsid w:val="00EC6BCD"/>
    <w:rsid w:val="00EF78B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23D9"/>
  <w15:docId w15:val="{FCCCB178-6D7A-4FA0-A1A8-3CD4F440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6</cp:revision>
  <dcterms:created xsi:type="dcterms:W3CDTF">2026-08-12T11:23:00Z</dcterms:created>
  <dcterms:modified xsi:type="dcterms:W3CDTF">2026-08-12T11:49:00Z</dcterms:modified>
</cp:coreProperties>
</file>