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6E47" w14:textId="77777777" w:rsidR="007A161E" w:rsidRDefault="00000000">
      <w:pPr>
        <w:pStyle w:val="Heading2"/>
      </w:pPr>
      <w:bookmarkStart w:id="0" w:name="таних-боломж-ба-шокын-сонголт"/>
      <w:r>
        <w:t>4.4 Таних боломж ба шокын сонголт</w:t>
      </w:r>
    </w:p>
    <w:p w14:paraId="28C59EA4" w14:textId="69003146" w:rsidR="007A161E" w:rsidRDefault="00000000">
      <w:pPr>
        <w:pStyle w:val="FirstParagraph"/>
      </w:pPr>
      <w:r>
        <w:t>Энэ дэд хэсэгт</w:t>
      </w:r>
      <w:r w:rsidR="00062A8C">
        <w:t xml:space="preserve"> жижиг, нээлттэй эдийн засгийн ДСЕТ-ийн</w:t>
      </w:r>
      <w:r>
        <w:t xml:space="preserve"> загварын шокын</w:t>
      </w:r>
      <w:r w:rsidR="00062A8C">
        <w:t xml:space="preserve"> сонголт</w:t>
      </w:r>
      <w:r>
        <w:t>,</w:t>
      </w:r>
      <w:r w:rsidR="00062A8C">
        <w:t xml:space="preserve"> </w:t>
      </w:r>
      <w:r>
        <w:t>тэдгээрээс алийг нь үнэлгээнд идэвхжүүлсэн шийдвэр, түүнчлэн үнэлэгдэх параметрийн тоог гучин зургаа болгосон хоёр шаттай процедурыг авч үзнэ. Эдгээр шийдвэр бүгд нэг хязгаарлалтаас урган гарна: жаран есөн улирлын ажиглалттай түүвэр, арван нэгэн ажиглагдах хувьсагчийн хүрээнд өгөгдөл бүх параметр, шокын талаар мэдээлэл өгч чадахгүй.</w:t>
      </w:r>
    </w:p>
    <w:p w14:paraId="4063D55E" w14:textId="77777777" w:rsidR="007A161E" w:rsidRDefault="00000000">
      <w:pPr>
        <w:pStyle w:val="BodyText"/>
      </w:pPr>
      <w:r>
        <w:t>Загвар нийт арван зургаан шок агуулна. Үүнээс арван гурав нь эх загвараас өвлөгдсөн бол гурав нь энэ бүлгийн өргөтгөлөөр нэмэгдсэн болно. Тэдгээрийг Хүснэгт 4-т үзүүлэв. Эх загварын шокыг гурван бүлэгт хувааж болно. Эрэлт, нийлүүлэлтийн шок нь хэрэглээний давуу байдал, технологи, орон сууцны эрэлт, хөрөнгө оруулалтын үр ашиг, үнэ болон хөдөлмөрийн нэмэгдүүлэлтэд нөлөөлнө. Санхүүгийн шок нь зээл-барьцааны харьцаа, банкны хүүний нэмэгдүүлэлт, банкны балансад нөлөөлөх бөгөөд эдгээр нь эх загварын гол шинэлэг тал байсан юм. Гурав дахь нь мөнгөний бодлогын шок.</w:t>
      </w:r>
    </w:p>
    <w:p w14:paraId="4C93296F" w14:textId="77777777" w:rsidR="00033A5E" w:rsidRDefault="00033A5E" w:rsidP="00033A5E">
      <w:pPr>
        <w:pStyle w:val="BodyText"/>
      </w:pPr>
      <w:r>
        <w:rPr>
          <w:b/>
          <w:bCs/>
        </w:rPr>
        <w:t>Хүснэгт 4.</w:t>
      </w:r>
      <w:r>
        <w:t xml:space="preserve"> Загварын шок</w:t>
      </w:r>
    </w:p>
    <w:tbl>
      <w:tblPr>
        <w:tblStyle w:val="Table"/>
        <w:tblW w:w="5000" w:type="pct"/>
        <w:tblLook w:val="0020" w:firstRow="1" w:lastRow="0" w:firstColumn="0" w:lastColumn="0" w:noHBand="0" w:noVBand="0"/>
      </w:tblPr>
      <w:tblGrid>
        <w:gridCol w:w="3352"/>
        <w:gridCol w:w="3711"/>
        <w:gridCol w:w="1318"/>
        <w:gridCol w:w="1195"/>
      </w:tblGrid>
      <w:tr w:rsidR="00033A5E" w14:paraId="3A4F43ED" w14:textId="77777777" w:rsidTr="00724CBF">
        <w:trPr>
          <w:cnfStyle w:val="100000000000" w:firstRow="1" w:lastRow="0" w:firstColumn="0" w:lastColumn="0" w:oddVBand="0" w:evenVBand="0" w:oddHBand="0" w:evenHBand="0" w:firstRowFirstColumn="0" w:firstRowLastColumn="0" w:lastRowFirstColumn="0" w:lastRowLastColumn="0"/>
          <w:tblHeader/>
        </w:trPr>
        <w:tc>
          <w:tcPr>
            <w:tcW w:w="0" w:type="auto"/>
          </w:tcPr>
          <w:p w14:paraId="44A974A5" w14:textId="77777777" w:rsidR="00033A5E" w:rsidRDefault="00033A5E" w:rsidP="00724CBF">
            <w:pPr>
              <w:pStyle w:val="Compact"/>
            </w:pPr>
            <w:r>
              <w:t>Шок</w:t>
            </w:r>
          </w:p>
        </w:tc>
        <w:tc>
          <w:tcPr>
            <w:tcW w:w="0" w:type="auto"/>
          </w:tcPr>
          <w:p w14:paraId="33ECB84E" w14:textId="77777777" w:rsidR="00033A5E" w:rsidRDefault="00033A5E" w:rsidP="00724CBF">
            <w:pPr>
              <w:pStyle w:val="Compact"/>
            </w:pPr>
            <w:r>
              <w:t>Тайлбар</w:t>
            </w:r>
          </w:p>
        </w:tc>
        <w:tc>
          <w:tcPr>
            <w:tcW w:w="0" w:type="auto"/>
          </w:tcPr>
          <w:p w14:paraId="1B67646D" w14:textId="77777777" w:rsidR="00033A5E" w:rsidRDefault="00033A5E" w:rsidP="00724CBF">
            <w:pPr>
              <w:pStyle w:val="Compact"/>
            </w:pPr>
            <w:r>
              <w:t>Эх сурвалж</w:t>
            </w:r>
          </w:p>
        </w:tc>
        <w:tc>
          <w:tcPr>
            <w:tcW w:w="0" w:type="auto"/>
          </w:tcPr>
          <w:p w14:paraId="68846623" w14:textId="77777777" w:rsidR="00033A5E" w:rsidRDefault="00033A5E" w:rsidP="00724CBF">
            <w:pPr>
              <w:pStyle w:val="Compact"/>
            </w:pPr>
            <w:r>
              <w:t>Статус</w:t>
            </w:r>
          </w:p>
        </w:tc>
      </w:tr>
      <w:tr w:rsidR="00033A5E" w14:paraId="180D61CB" w14:textId="77777777" w:rsidTr="00724CBF">
        <w:tc>
          <w:tcPr>
            <w:tcW w:w="0" w:type="auto"/>
          </w:tcPr>
          <w:p w14:paraId="0DEDB491" w14:textId="77777777" w:rsidR="00033A5E" w:rsidRDefault="00033A5E" w:rsidP="00724CBF">
            <w:pPr>
              <w:pStyle w:val="Compact"/>
            </w:pPr>
            <w:r>
              <w:rPr>
                <w:b/>
                <w:bCs/>
              </w:rPr>
              <w:t>Эрэлт, нийлүүлэлтийн шок</w:t>
            </w:r>
          </w:p>
        </w:tc>
        <w:tc>
          <w:tcPr>
            <w:tcW w:w="0" w:type="auto"/>
          </w:tcPr>
          <w:p w14:paraId="7334CD81" w14:textId="77777777" w:rsidR="00033A5E" w:rsidRDefault="00033A5E" w:rsidP="00724CBF">
            <w:pPr>
              <w:pStyle w:val="Compact"/>
            </w:pPr>
          </w:p>
        </w:tc>
        <w:tc>
          <w:tcPr>
            <w:tcW w:w="0" w:type="auto"/>
          </w:tcPr>
          <w:p w14:paraId="4BBCBBDC" w14:textId="77777777" w:rsidR="00033A5E" w:rsidRDefault="00033A5E" w:rsidP="00724CBF">
            <w:pPr>
              <w:pStyle w:val="Compact"/>
            </w:pPr>
          </w:p>
        </w:tc>
        <w:tc>
          <w:tcPr>
            <w:tcW w:w="0" w:type="auto"/>
          </w:tcPr>
          <w:p w14:paraId="227FB347" w14:textId="77777777" w:rsidR="00033A5E" w:rsidRDefault="00033A5E" w:rsidP="00724CBF">
            <w:pPr>
              <w:pStyle w:val="Compact"/>
            </w:pPr>
          </w:p>
        </w:tc>
      </w:tr>
      <w:tr w:rsidR="00033A5E" w14:paraId="55A32F7C" w14:textId="77777777" w:rsidTr="00724CBF">
        <w:tc>
          <w:tcPr>
            <w:tcW w:w="0" w:type="auto"/>
          </w:tcPr>
          <w:p w14:paraId="546D68A9"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z</m:t>
                    </m:r>
                  </m:sup>
                </m:sSubSup>
              </m:oMath>
            </m:oMathPara>
          </w:p>
        </w:tc>
        <w:tc>
          <w:tcPr>
            <w:tcW w:w="0" w:type="auto"/>
          </w:tcPr>
          <w:p w14:paraId="0454F2EA" w14:textId="77777777" w:rsidR="00033A5E" w:rsidRDefault="00033A5E" w:rsidP="00724CBF">
            <w:pPr>
              <w:pStyle w:val="Compact"/>
            </w:pPr>
            <w:r>
              <w:t>Хэрэглээний давуу байдал</w:t>
            </w:r>
          </w:p>
        </w:tc>
        <w:tc>
          <w:tcPr>
            <w:tcW w:w="0" w:type="auto"/>
          </w:tcPr>
          <w:p w14:paraId="49F7B47A" w14:textId="77777777" w:rsidR="00033A5E" w:rsidRDefault="00033A5E" w:rsidP="00724CBF">
            <w:pPr>
              <w:pStyle w:val="Compact"/>
            </w:pPr>
            <w:r>
              <w:t>Эх загвар</w:t>
            </w:r>
          </w:p>
        </w:tc>
        <w:tc>
          <w:tcPr>
            <w:tcW w:w="0" w:type="auto"/>
          </w:tcPr>
          <w:p w14:paraId="3ED3925F" w14:textId="77777777" w:rsidR="00033A5E" w:rsidRDefault="00033A5E" w:rsidP="00724CBF">
            <w:pPr>
              <w:pStyle w:val="Compact"/>
            </w:pPr>
            <w:r>
              <w:t>Идэвхтэй</w:t>
            </w:r>
          </w:p>
        </w:tc>
      </w:tr>
      <w:tr w:rsidR="00033A5E" w14:paraId="57463577" w14:textId="77777777" w:rsidTr="00724CBF">
        <w:tc>
          <w:tcPr>
            <w:tcW w:w="0" w:type="auto"/>
          </w:tcPr>
          <w:p w14:paraId="7061943E"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A</m:t>
                    </m:r>
                  </m:sup>
                </m:sSubSup>
              </m:oMath>
            </m:oMathPara>
          </w:p>
        </w:tc>
        <w:tc>
          <w:tcPr>
            <w:tcW w:w="0" w:type="auto"/>
          </w:tcPr>
          <w:p w14:paraId="6A80F373" w14:textId="77777777" w:rsidR="00033A5E" w:rsidRDefault="00033A5E" w:rsidP="00724CBF">
            <w:pPr>
              <w:pStyle w:val="Compact"/>
            </w:pPr>
            <w:r>
              <w:t>Технологи</w:t>
            </w:r>
          </w:p>
        </w:tc>
        <w:tc>
          <w:tcPr>
            <w:tcW w:w="0" w:type="auto"/>
          </w:tcPr>
          <w:p w14:paraId="70087664" w14:textId="77777777" w:rsidR="00033A5E" w:rsidRDefault="00033A5E" w:rsidP="00724CBF">
            <w:pPr>
              <w:pStyle w:val="Compact"/>
            </w:pPr>
            <w:r>
              <w:t>Эх загвар</w:t>
            </w:r>
          </w:p>
        </w:tc>
        <w:tc>
          <w:tcPr>
            <w:tcW w:w="0" w:type="auto"/>
          </w:tcPr>
          <w:p w14:paraId="0FB2BE96" w14:textId="77777777" w:rsidR="00033A5E" w:rsidRDefault="00033A5E" w:rsidP="00724CBF">
            <w:pPr>
              <w:pStyle w:val="Compact"/>
            </w:pPr>
            <w:r>
              <w:t>Идэвхтэй</w:t>
            </w:r>
          </w:p>
        </w:tc>
      </w:tr>
      <w:tr w:rsidR="00033A5E" w14:paraId="2A116BBB" w14:textId="77777777" w:rsidTr="00724CBF">
        <w:tc>
          <w:tcPr>
            <w:tcW w:w="0" w:type="auto"/>
          </w:tcPr>
          <w:p w14:paraId="3B7E002E"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h</m:t>
                    </m:r>
                  </m:sup>
                </m:sSubSup>
              </m:oMath>
            </m:oMathPara>
          </w:p>
        </w:tc>
        <w:tc>
          <w:tcPr>
            <w:tcW w:w="0" w:type="auto"/>
          </w:tcPr>
          <w:p w14:paraId="6BD9B867" w14:textId="77777777" w:rsidR="00033A5E" w:rsidRDefault="00033A5E" w:rsidP="00724CBF">
            <w:pPr>
              <w:pStyle w:val="Compact"/>
            </w:pPr>
            <w:r>
              <w:t>Орон сууцны эрэлт</w:t>
            </w:r>
          </w:p>
        </w:tc>
        <w:tc>
          <w:tcPr>
            <w:tcW w:w="0" w:type="auto"/>
          </w:tcPr>
          <w:p w14:paraId="1A844380" w14:textId="77777777" w:rsidR="00033A5E" w:rsidRDefault="00033A5E" w:rsidP="00724CBF">
            <w:pPr>
              <w:pStyle w:val="Compact"/>
            </w:pPr>
            <w:r>
              <w:t>Эх загвар</w:t>
            </w:r>
          </w:p>
        </w:tc>
        <w:tc>
          <w:tcPr>
            <w:tcW w:w="0" w:type="auto"/>
          </w:tcPr>
          <w:p w14:paraId="5F1E578B" w14:textId="77777777" w:rsidR="00033A5E" w:rsidRDefault="00033A5E" w:rsidP="00724CBF">
            <w:pPr>
              <w:pStyle w:val="Compact"/>
            </w:pPr>
            <w:r>
              <w:t>Идэвхтэй</w:t>
            </w:r>
          </w:p>
        </w:tc>
      </w:tr>
      <w:tr w:rsidR="00033A5E" w14:paraId="7F05F7AD" w14:textId="77777777" w:rsidTr="00724CBF">
        <w:tc>
          <w:tcPr>
            <w:tcW w:w="0" w:type="auto"/>
          </w:tcPr>
          <w:p w14:paraId="795E9E8D"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qk</m:t>
                    </m:r>
                  </m:sup>
                </m:sSubSup>
              </m:oMath>
            </m:oMathPara>
          </w:p>
        </w:tc>
        <w:tc>
          <w:tcPr>
            <w:tcW w:w="0" w:type="auto"/>
          </w:tcPr>
          <w:p w14:paraId="3DF57B36" w14:textId="77777777" w:rsidR="00033A5E" w:rsidRDefault="00033A5E" w:rsidP="00724CBF">
            <w:pPr>
              <w:pStyle w:val="Compact"/>
            </w:pPr>
            <w:r>
              <w:t>Хөрөнгө оруулалтын үр ашиг</w:t>
            </w:r>
          </w:p>
        </w:tc>
        <w:tc>
          <w:tcPr>
            <w:tcW w:w="0" w:type="auto"/>
          </w:tcPr>
          <w:p w14:paraId="0D84A75A" w14:textId="77777777" w:rsidR="00033A5E" w:rsidRDefault="00033A5E" w:rsidP="00724CBF">
            <w:pPr>
              <w:pStyle w:val="Compact"/>
            </w:pPr>
            <w:r>
              <w:t>Эх загвар</w:t>
            </w:r>
          </w:p>
        </w:tc>
        <w:tc>
          <w:tcPr>
            <w:tcW w:w="0" w:type="auto"/>
          </w:tcPr>
          <w:p w14:paraId="3514EE47" w14:textId="77777777" w:rsidR="00033A5E" w:rsidRDefault="00033A5E" w:rsidP="00724CBF">
            <w:pPr>
              <w:pStyle w:val="Compact"/>
            </w:pPr>
            <w:r>
              <w:t>Идэвхтэй</w:t>
            </w:r>
          </w:p>
        </w:tc>
      </w:tr>
      <w:tr w:rsidR="00033A5E" w14:paraId="547796EE" w14:textId="77777777" w:rsidTr="00724CBF">
        <w:tc>
          <w:tcPr>
            <w:tcW w:w="0" w:type="auto"/>
          </w:tcPr>
          <w:p w14:paraId="22FB988B"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y</m:t>
                    </m:r>
                  </m:sup>
                </m:sSubSup>
              </m:oMath>
            </m:oMathPara>
          </w:p>
        </w:tc>
        <w:tc>
          <w:tcPr>
            <w:tcW w:w="0" w:type="auto"/>
          </w:tcPr>
          <w:p w14:paraId="2917C72B" w14:textId="77777777" w:rsidR="00033A5E" w:rsidRDefault="00033A5E" w:rsidP="00724CBF">
            <w:pPr>
              <w:pStyle w:val="Compact"/>
            </w:pPr>
            <w:r>
              <w:t>Үнийн нэмэгдүүлэлт</w:t>
            </w:r>
          </w:p>
        </w:tc>
        <w:tc>
          <w:tcPr>
            <w:tcW w:w="0" w:type="auto"/>
          </w:tcPr>
          <w:p w14:paraId="104078B8" w14:textId="77777777" w:rsidR="00033A5E" w:rsidRDefault="00033A5E" w:rsidP="00724CBF">
            <w:pPr>
              <w:pStyle w:val="Compact"/>
            </w:pPr>
            <w:r>
              <w:t>Эх загвар</w:t>
            </w:r>
          </w:p>
        </w:tc>
        <w:tc>
          <w:tcPr>
            <w:tcW w:w="0" w:type="auto"/>
          </w:tcPr>
          <w:p w14:paraId="1463D1E2" w14:textId="77777777" w:rsidR="00033A5E" w:rsidRDefault="00033A5E" w:rsidP="00724CBF">
            <w:pPr>
              <w:pStyle w:val="Compact"/>
            </w:pPr>
            <w:r>
              <w:t>Идэвхтэй</w:t>
            </w:r>
          </w:p>
        </w:tc>
      </w:tr>
      <w:tr w:rsidR="00033A5E" w14:paraId="575BC49D" w14:textId="77777777" w:rsidTr="00724CBF">
        <w:tc>
          <w:tcPr>
            <w:tcW w:w="0" w:type="auto"/>
          </w:tcPr>
          <w:p w14:paraId="0AE5FB69"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l</m:t>
                    </m:r>
                  </m:sup>
                </m:sSubSup>
              </m:oMath>
            </m:oMathPara>
          </w:p>
        </w:tc>
        <w:tc>
          <w:tcPr>
            <w:tcW w:w="0" w:type="auto"/>
          </w:tcPr>
          <w:p w14:paraId="33EAA18B" w14:textId="77777777" w:rsidR="00033A5E" w:rsidRDefault="00033A5E" w:rsidP="00724CBF">
            <w:pPr>
              <w:pStyle w:val="Compact"/>
            </w:pPr>
            <w:r>
              <w:t>Цалингийн нэмэгдүүлэлт</w:t>
            </w:r>
          </w:p>
        </w:tc>
        <w:tc>
          <w:tcPr>
            <w:tcW w:w="0" w:type="auto"/>
          </w:tcPr>
          <w:p w14:paraId="4B442664" w14:textId="77777777" w:rsidR="00033A5E" w:rsidRDefault="00033A5E" w:rsidP="00724CBF">
            <w:pPr>
              <w:pStyle w:val="Compact"/>
            </w:pPr>
            <w:r>
              <w:t>Эх загвар</w:t>
            </w:r>
          </w:p>
        </w:tc>
        <w:tc>
          <w:tcPr>
            <w:tcW w:w="0" w:type="auto"/>
          </w:tcPr>
          <w:p w14:paraId="10819C74" w14:textId="77777777" w:rsidR="00033A5E" w:rsidRDefault="00033A5E" w:rsidP="00724CBF">
            <w:pPr>
              <w:pStyle w:val="Compact"/>
            </w:pPr>
            <w:r>
              <w:t>Идэвхтэй</w:t>
            </w:r>
          </w:p>
        </w:tc>
      </w:tr>
      <w:tr w:rsidR="00033A5E" w14:paraId="1525FA4D" w14:textId="77777777" w:rsidTr="00724CBF">
        <w:tc>
          <w:tcPr>
            <w:tcW w:w="0" w:type="auto"/>
          </w:tcPr>
          <w:p w14:paraId="769296E5" w14:textId="77777777" w:rsidR="00033A5E" w:rsidRDefault="00033A5E" w:rsidP="00724CBF">
            <w:pPr>
              <w:pStyle w:val="Compact"/>
            </w:pPr>
            <w:r>
              <w:rPr>
                <w:b/>
                <w:bCs/>
              </w:rPr>
              <w:t>Санхүүгийн шок</w:t>
            </w:r>
          </w:p>
        </w:tc>
        <w:tc>
          <w:tcPr>
            <w:tcW w:w="0" w:type="auto"/>
          </w:tcPr>
          <w:p w14:paraId="70B3C38D" w14:textId="77777777" w:rsidR="00033A5E" w:rsidRDefault="00033A5E" w:rsidP="00724CBF">
            <w:pPr>
              <w:pStyle w:val="Compact"/>
            </w:pPr>
          </w:p>
        </w:tc>
        <w:tc>
          <w:tcPr>
            <w:tcW w:w="0" w:type="auto"/>
          </w:tcPr>
          <w:p w14:paraId="3B61FBDF" w14:textId="77777777" w:rsidR="00033A5E" w:rsidRDefault="00033A5E" w:rsidP="00724CBF">
            <w:pPr>
              <w:pStyle w:val="Compact"/>
            </w:pPr>
          </w:p>
        </w:tc>
        <w:tc>
          <w:tcPr>
            <w:tcW w:w="0" w:type="auto"/>
          </w:tcPr>
          <w:p w14:paraId="39087965" w14:textId="77777777" w:rsidR="00033A5E" w:rsidRDefault="00033A5E" w:rsidP="00724CBF">
            <w:pPr>
              <w:pStyle w:val="Compact"/>
            </w:pPr>
          </w:p>
        </w:tc>
      </w:tr>
      <w:tr w:rsidR="00033A5E" w14:paraId="7495D7BE" w14:textId="77777777" w:rsidTr="00724CBF">
        <w:tc>
          <w:tcPr>
            <w:tcW w:w="0" w:type="auto"/>
          </w:tcPr>
          <w:p w14:paraId="6D0010F2"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mI</m:t>
                    </m:r>
                  </m:sup>
                </m:sSubSup>
              </m:oMath>
            </m:oMathPara>
          </w:p>
        </w:tc>
        <w:tc>
          <w:tcPr>
            <w:tcW w:w="0" w:type="auto"/>
          </w:tcPr>
          <w:p w14:paraId="3696FDDD" w14:textId="77777777" w:rsidR="00033A5E" w:rsidRDefault="00033A5E" w:rsidP="00724CBF">
            <w:pPr>
              <w:pStyle w:val="Compact"/>
            </w:pPr>
            <w:r>
              <w:t>Өрхийн зээл-барьцааны харьцаа</w:t>
            </w:r>
          </w:p>
        </w:tc>
        <w:tc>
          <w:tcPr>
            <w:tcW w:w="0" w:type="auto"/>
          </w:tcPr>
          <w:p w14:paraId="5995DB21" w14:textId="77777777" w:rsidR="00033A5E" w:rsidRDefault="00033A5E" w:rsidP="00724CBF">
            <w:pPr>
              <w:pStyle w:val="Compact"/>
            </w:pPr>
            <w:r>
              <w:t>Эх загвар</w:t>
            </w:r>
          </w:p>
        </w:tc>
        <w:tc>
          <w:tcPr>
            <w:tcW w:w="0" w:type="auto"/>
          </w:tcPr>
          <w:p w14:paraId="650464A4" w14:textId="77777777" w:rsidR="00033A5E" w:rsidRDefault="00033A5E" w:rsidP="00724CBF">
            <w:pPr>
              <w:pStyle w:val="Compact"/>
            </w:pPr>
            <w:r>
              <w:t>Идэвхтэй</w:t>
            </w:r>
          </w:p>
        </w:tc>
      </w:tr>
      <w:tr w:rsidR="00033A5E" w14:paraId="2ECE7B2F" w14:textId="77777777" w:rsidTr="00724CBF">
        <w:tc>
          <w:tcPr>
            <w:tcW w:w="0" w:type="auto"/>
          </w:tcPr>
          <w:p w14:paraId="33829101"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mE</m:t>
                    </m:r>
                  </m:sup>
                </m:sSubSup>
              </m:oMath>
            </m:oMathPara>
          </w:p>
        </w:tc>
        <w:tc>
          <w:tcPr>
            <w:tcW w:w="0" w:type="auto"/>
          </w:tcPr>
          <w:p w14:paraId="3301AC4E" w14:textId="77777777" w:rsidR="00033A5E" w:rsidRDefault="00033A5E" w:rsidP="00724CBF">
            <w:pPr>
              <w:pStyle w:val="Compact"/>
            </w:pPr>
            <w:r>
              <w:t>Аж ахуй эрхлэгчийн зээл-барьцааны харьцаа</w:t>
            </w:r>
          </w:p>
        </w:tc>
        <w:tc>
          <w:tcPr>
            <w:tcW w:w="0" w:type="auto"/>
          </w:tcPr>
          <w:p w14:paraId="623BF71D" w14:textId="77777777" w:rsidR="00033A5E" w:rsidRDefault="00033A5E" w:rsidP="00724CBF">
            <w:pPr>
              <w:pStyle w:val="Compact"/>
            </w:pPr>
            <w:r>
              <w:t>Эх загвар</w:t>
            </w:r>
          </w:p>
        </w:tc>
        <w:tc>
          <w:tcPr>
            <w:tcW w:w="0" w:type="auto"/>
          </w:tcPr>
          <w:p w14:paraId="3183F804" w14:textId="77777777" w:rsidR="00033A5E" w:rsidRDefault="00033A5E" w:rsidP="00724CBF">
            <w:pPr>
              <w:pStyle w:val="Compact"/>
            </w:pPr>
            <w:r>
              <w:t>Идэвхтэй</w:t>
            </w:r>
          </w:p>
        </w:tc>
      </w:tr>
      <w:tr w:rsidR="00033A5E" w14:paraId="4AF5CC8E" w14:textId="77777777" w:rsidTr="00724CBF">
        <w:tc>
          <w:tcPr>
            <w:tcW w:w="0" w:type="auto"/>
          </w:tcPr>
          <w:p w14:paraId="425889B9"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mk</m:t>
                    </m:r>
                    <m:r>
                      <m:rPr>
                        <m:sty m:val="p"/>
                      </m:rPr>
                      <w:rPr>
                        <w:rFonts w:ascii="Cambria Math" w:hAnsi="Cambria Math"/>
                      </w:rPr>
                      <m:t>,</m:t>
                    </m:r>
                    <m:r>
                      <w:rPr>
                        <w:rFonts w:ascii="Cambria Math" w:hAnsi="Cambria Math"/>
                      </w:rPr>
                      <m:t>d</m:t>
                    </m:r>
                  </m:sup>
                </m:sSubSup>
              </m:oMath>
            </m:oMathPara>
          </w:p>
        </w:tc>
        <w:tc>
          <w:tcPr>
            <w:tcW w:w="0" w:type="auto"/>
          </w:tcPr>
          <w:p w14:paraId="59A85B44" w14:textId="77777777" w:rsidR="00033A5E" w:rsidRDefault="00033A5E" w:rsidP="00724CBF">
            <w:pPr>
              <w:pStyle w:val="Compact"/>
            </w:pPr>
            <w:r>
              <w:t>Хадгаламжийн нэмэгдүүлэлт</w:t>
            </w:r>
          </w:p>
        </w:tc>
        <w:tc>
          <w:tcPr>
            <w:tcW w:w="0" w:type="auto"/>
          </w:tcPr>
          <w:p w14:paraId="2AC23079" w14:textId="77777777" w:rsidR="00033A5E" w:rsidRDefault="00033A5E" w:rsidP="00724CBF">
            <w:pPr>
              <w:pStyle w:val="Compact"/>
            </w:pPr>
            <w:r>
              <w:t>Эх загвар</w:t>
            </w:r>
          </w:p>
        </w:tc>
        <w:tc>
          <w:tcPr>
            <w:tcW w:w="0" w:type="auto"/>
          </w:tcPr>
          <w:p w14:paraId="76CA5397" w14:textId="77777777" w:rsidR="00033A5E" w:rsidRDefault="00033A5E" w:rsidP="00724CBF">
            <w:pPr>
              <w:pStyle w:val="Compact"/>
            </w:pPr>
            <w:r>
              <w:t>Идэвхтэй</w:t>
            </w:r>
          </w:p>
        </w:tc>
      </w:tr>
      <w:tr w:rsidR="00033A5E" w14:paraId="099BB4A7" w14:textId="77777777" w:rsidTr="00724CBF">
        <w:tc>
          <w:tcPr>
            <w:tcW w:w="0" w:type="auto"/>
          </w:tcPr>
          <w:p w14:paraId="52B53170"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mk</m:t>
                    </m:r>
                    <m:r>
                      <m:rPr>
                        <m:sty m:val="p"/>
                      </m:rPr>
                      <w:rPr>
                        <w:rFonts w:ascii="Cambria Math" w:hAnsi="Cambria Math"/>
                      </w:rPr>
                      <m:t>,</m:t>
                    </m:r>
                    <m:r>
                      <w:rPr>
                        <w:rFonts w:ascii="Cambria Math" w:hAnsi="Cambria Math"/>
                      </w:rPr>
                      <m:t>bH</m:t>
                    </m:r>
                  </m:sup>
                </m:sSubSup>
              </m:oMath>
            </m:oMathPara>
          </w:p>
        </w:tc>
        <w:tc>
          <w:tcPr>
            <w:tcW w:w="0" w:type="auto"/>
          </w:tcPr>
          <w:p w14:paraId="0C3664F7" w14:textId="77777777" w:rsidR="00033A5E" w:rsidRDefault="00033A5E" w:rsidP="00724CBF">
            <w:pPr>
              <w:pStyle w:val="Compact"/>
            </w:pPr>
            <w:r>
              <w:t>Орон сууцны зээлийн нэмэгдүүлэлт</w:t>
            </w:r>
          </w:p>
        </w:tc>
        <w:tc>
          <w:tcPr>
            <w:tcW w:w="0" w:type="auto"/>
          </w:tcPr>
          <w:p w14:paraId="1DCC11F4" w14:textId="77777777" w:rsidR="00033A5E" w:rsidRDefault="00033A5E" w:rsidP="00724CBF">
            <w:pPr>
              <w:pStyle w:val="Compact"/>
            </w:pPr>
            <w:r>
              <w:t>Эх загвар</w:t>
            </w:r>
          </w:p>
        </w:tc>
        <w:tc>
          <w:tcPr>
            <w:tcW w:w="0" w:type="auto"/>
          </w:tcPr>
          <w:p w14:paraId="38D9764A" w14:textId="77777777" w:rsidR="00033A5E" w:rsidRDefault="00033A5E" w:rsidP="00724CBF">
            <w:pPr>
              <w:pStyle w:val="Compact"/>
            </w:pPr>
            <w:r>
              <w:t>Идэвхтэй</w:t>
            </w:r>
          </w:p>
        </w:tc>
      </w:tr>
      <w:tr w:rsidR="00033A5E" w14:paraId="3E253ED5" w14:textId="77777777" w:rsidTr="00724CBF">
        <w:tc>
          <w:tcPr>
            <w:tcW w:w="0" w:type="auto"/>
          </w:tcPr>
          <w:p w14:paraId="356E0DE3"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mk</m:t>
                    </m:r>
                    <m:r>
                      <m:rPr>
                        <m:sty m:val="p"/>
                      </m:rPr>
                      <w:rPr>
                        <w:rFonts w:ascii="Cambria Math" w:hAnsi="Cambria Math"/>
                      </w:rPr>
                      <m:t>,</m:t>
                    </m:r>
                    <m:r>
                      <w:rPr>
                        <w:rFonts w:ascii="Cambria Math" w:hAnsi="Cambria Math"/>
                      </w:rPr>
                      <m:t>bE</m:t>
                    </m:r>
                  </m:sup>
                </m:sSubSup>
              </m:oMath>
            </m:oMathPara>
          </w:p>
        </w:tc>
        <w:tc>
          <w:tcPr>
            <w:tcW w:w="0" w:type="auto"/>
          </w:tcPr>
          <w:p w14:paraId="5A177F2D" w14:textId="77777777" w:rsidR="00033A5E" w:rsidRDefault="00033A5E" w:rsidP="00724CBF">
            <w:pPr>
              <w:pStyle w:val="Compact"/>
            </w:pPr>
            <w:r>
              <w:t>Аж ахуй эрхлэгчийн зээлийн нэмэгдүүлэлт</w:t>
            </w:r>
          </w:p>
        </w:tc>
        <w:tc>
          <w:tcPr>
            <w:tcW w:w="0" w:type="auto"/>
          </w:tcPr>
          <w:p w14:paraId="5276C6A6" w14:textId="77777777" w:rsidR="00033A5E" w:rsidRDefault="00033A5E" w:rsidP="00724CBF">
            <w:pPr>
              <w:pStyle w:val="Compact"/>
            </w:pPr>
            <w:r>
              <w:t>Эх загвар</w:t>
            </w:r>
          </w:p>
        </w:tc>
        <w:tc>
          <w:tcPr>
            <w:tcW w:w="0" w:type="auto"/>
          </w:tcPr>
          <w:p w14:paraId="31AFBE53" w14:textId="77777777" w:rsidR="00033A5E" w:rsidRDefault="00033A5E" w:rsidP="00724CBF">
            <w:pPr>
              <w:pStyle w:val="Compact"/>
            </w:pPr>
            <w:r>
              <w:t>Идэвхтэй</w:t>
            </w:r>
          </w:p>
        </w:tc>
      </w:tr>
      <w:tr w:rsidR="00033A5E" w14:paraId="65CFB193" w14:textId="77777777" w:rsidTr="00724CBF">
        <w:tc>
          <w:tcPr>
            <w:tcW w:w="0" w:type="auto"/>
          </w:tcPr>
          <w:p w14:paraId="35E85290"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Kb</m:t>
                    </m:r>
                  </m:sup>
                </m:sSubSup>
              </m:oMath>
            </m:oMathPara>
          </w:p>
        </w:tc>
        <w:tc>
          <w:tcPr>
            <w:tcW w:w="0" w:type="auto"/>
          </w:tcPr>
          <w:p w14:paraId="2CB42858" w14:textId="77777777" w:rsidR="00033A5E" w:rsidRDefault="00033A5E" w:rsidP="00724CBF">
            <w:pPr>
              <w:pStyle w:val="Compact"/>
            </w:pPr>
            <w:r>
              <w:t>Банкны балансын шок</w:t>
            </w:r>
          </w:p>
        </w:tc>
        <w:tc>
          <w:tcPr>
            <w:tcW w:w="0" w:type="auto"/>
          </w:tcPr>
          <w:p w14:paraId="167C7D21" w14:textId="77777777" w:rsidR="00033A5E" w:rsidRDefault="00033A5E" w:rsidP="00724CBF">
            <w:pPr>
              <w:pStyle w:val="Compact"/>
            </w:pPr>
            <w:r>
              <w:t>Эх загвар</w:t>
            </w:r>
          </w:p>
        </w:tc>
        <w:tc>
          <w:tcPr>
            <w:tcW w:w="0" w:type="auto"/>
          </w:tcPr>
          <w:p w14:paraId="40D92791" w14:textId="77777777" w:rsidR="00033A5E" w:rsidRDefault="00033A5E" w:rsidP="00724CBF">
            <w:pPr>
              <w:pStyle w:val="Compact"/>
            </w:pPr>
            <w:r>
              <w:t>Идэвхтэй</w:t>
            </w:r>
          </w:p>
        </w:tc>
      </w:tr>
      <w:tr w:rsidR="00033A5E" w14:paraId="3309DF5F" w14:textId="77777777" w:rsidTr="00724CBF">
        <w:tc>
          <w:tcPr>
            <w:tcW w:w="0" w:type="auto"/>
          </w:tcPr>
          <w:p w14:paraId="6BDC54AD" w14:textId="77777777" w:rsidR="00033A5E" w:rsidRDefault="00033A5E" w:rsidP="00724CBF">
            <w:pPr>
              <w:pStyle w:val="Compact"/>
            </w:pPr>
            <w:r>
              <w:rPr>
                <w:b/>
                <w:bCs/>
              </w:rPr>
              <w:t>Мөнгөний бодлогын шок</w:t>
            </w:r>
          </w:p>
        </w:tc>
        <w:tc>
          <w:tcPr>
            <w:tcW w:w="0" w:type="auto"/>
          </w:tcPr>
          <w:p w14:paraId="7EA96FD9" w14:textId="77777777" w:rsidR="00033A5E" w:rsidRDefault="00033A5E" w:rsidP="00724CBF">
            <w:pPr>
              <w:pStyle w:val="Compact"/>
            </w:pPr>
          </w:p>
        </w:tc>
        <w:tc>
          <w:tcPr>
            <w:tcW w:w="0" w:type="auto"/>
          </w:tcPr>
          <w:p w14:paraId="4534D38A" w14:textId="77777777" w:rsidR="00033A5E" w:rsidRDefault="00033A5E" w:rsidP="00724CBF">
            <w:pPr>
              <w:pStyle w:val="Compact"/>
            </w:pPr>
          </w:p>
        </w:tc>
        <w:tc>
          <w:tcPr>
            <w:tcW w:w="0" w:type="auto"/>
          </w:tcPr>
          <w:p w14:paraId="16A42AC7" w14:textId="77777777" w:rsidR="00033A5E" w:rsidRDefault="00033A5E" w:rsidP="00724CBF">
            <w:pPr>
              <w:pStyle w:val="Compact"/>
            </w:pPr>
          </w:p>
        </w:tc>
      </w:tr>
      <w:tr w:rsidR="00033A5E" w14:paraId="2ED8E610" w14:textId="77777777" w:rsidTr="00724CBF">
        <w:tc>
          <w:tcPr>
            <w:tcW w:w="0" w:type="auto"/>
          </w:tcPr>
          <w:p w14:paraId="1CCB1981"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r</m:t>
                    </m:r>
                  </m:sup>
                </m:sSubSup>
              </m:oMath>
            </m:oMathPara>
          </w:p>
        </w:tc>
        <w:tc>
          <w:tcPr>
            <w:tcW w:w="0" w:type="auto"/>
          </w:tcPr>
          <w:p w14:paraId="369E231C" w14:textId="77777777" w:rsidR="00033A5E" w:rsidRDefault="00033A5E" w:rsidP="00724CBF">
            <w:pPr>
              <w:pStyle w:val="Compact"/>
            </w:pPr>
            <w:r>
              <w:t>Мөнгөний бодлого</w:t>
            </w:r>
          </w:p>
        </w:tc>
        <w:tc>
          <w:tcPr>
            <w:tcW w:w="0" w:type="auto"/>
          </w:tcPr>
          <w:p w14:paraId="6BB5BA51" w14:textId="77777777" w:rsidR="00033A5E" w:rsidRDefault="00033A5E" w:rsidP="00724CBF">
            <w:pPr>
              <w:pStyle w:val="Compact"/>
            </w:pPr>
            <w:r>
              <w:t>Эх загвар</w:t>
            </w:r>
          </w:p>
        </w:tc>
        <w:tc>
          <w:tcPr>
            <w:tcW w:w="0" w:type="auto"/>
          </w:tcPr>
          <w:p w14:paraId="35B9AAC4" w14:textId="77777777" w:rsidR="00033A5E" w:rsidRDefault="00033A5E" w:rsidP="00724CBF">
            <w:pPr>
              <w:pStyle w:val="Compact"/>
            </w:pPr>
            <w:r>
              <w:t>Идэвхтэй</w:t>
            </w:r>
          </w:p>
        </w:tc>
      </w:tr>
      <w:tr w:rsidR="00033A5E" w14:paraId="51394462" w14:textId="77777777" w:rsidTr="00724CBF">
        <w:tc>
          <w:tcPr>
            <w:tcW w:w="0" w:type="auto"/>
          </w:tcPr>
          <w:p w14:paraId="51FECAE1" w14:textId="77777777" w:rsidR="00033A5E" w:rsidRDefault="00033A5E" w:rsidP="00724CBF">
            <w:pPr>
              <w:pStyle w:val="Compact"/>
            </w:pPr>
            <w:r>
              <w:rPr>
                <w:b/>
                <w:bCs/>
              </w:rPr>
              <w:t xml:space="preserve">Жижиг, нээлттэй эдийн </w:t>
            </w:r>
            <w:r>
              <w:rPr>
                <w:b/>
                <w:bCs/>
              </w:rPr>
              <w:lastRenderedPageBreak/>
              <w:t>засгийн шок</w:t>
            </w:r>
          </w:p>
        </w:tc>
        <w:tc>
          <w:tcPr>
            <w:tcW w:w="0" w:type="auto"/>
          </w:tcPr>
          <w:p w14:paraId="36B9F620" w14:textId="77777777" w:rsidR="00033A5E" w:rsidRDefault="00033A5E" w:rsidP="00724CBF">
            <w:pPr>
              <w:pStyle w:val="Compact"/>
            </w:pPr>
          </w:p>
        </w:tc>
        <w:tc>
          <w:tcPr>
            <w:tcW w:w="0" w:type="auto"/>
          </w:tcPr>
          <w:p w14:paraId="1724020B" w14:textId="77777777" w:rsidR="00033A5E" w:rsidRDefault="00033A5E" w:rsidP="00724CBF">
            <w:pPr>
              <w:pStyle w:val="Compact"/>
            </w:pPr>
          </w:p>
        </w:tc>
        <w:tc>
          <w:tcPr>
            <w:tcW w:w="0" w:type="auto"/>
          </w:tcPr>
          <w:p w14:paraId="5B6F205C" w14:textId="77777777" w:rsidR="00033A5E" w:rsidRDefault="00033A5E" w:rsidP="00724CBF">
            <w:pPr>
              <w:pStyle w:val="Compact"/>
            </w:pPr>
          </w:p>
        </w:tc>
      </w:tr>
      <w:tr w:rsidR="00033A5E" w14:paraId="154C59C8" w14:textId="77777777" w:rsidTr="00724CBF">
        <w:tc>
          <w:tcPr>
            <w:tcW w:w="0" w:type="auto"/>
          </w:tcPr>
          <w:p w14:paraId="1D015113"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sSup>
                      <m:sSupPr>
                        <m:ctrlPr>
                          <w:rPr>
                            <w:rFonts w:ascii="Cambria Math" w:hAnsi="Cambria Math"/>
                          </w:rPr>
                        </m:ctrlPr>
                      </m:sSupPr>
                      <m:e>
                        <m:r>
                          <w:rPr>
                            <w:rFonts w:ascii="Cambria Math" w:hAnsi="Cambria Math"/>
                          </w:rPr>
                          <m:t>r</m:t>
                        </m:r>
                      </m:e>
                      <m:sup>
                        <m:r>
                          <m:rPr>
                            <m:sty m:val="p"/>
                          </m:rPr>
                          <w:rPr>
                            <w:rFonts w:ascii="Cambria Math" w:hAnsi="Cambria Math"/>
                          </w:rPr>
                          <m:t>*</m:t>
                        </m:r>
                      </m:sup>
                    </m:sSup>
                  </m:sup>
                </m:sSubSup>
              </m:oMath>
            </m:oMathPara>
          </w:p>
        </w:tc>
        <w:tc>
          <w:tcPr>
            <w:tcW w:w="0" w:type="auto"/>
          </w:tcPr>
          <w:p w14:paraId="569007D7" w14:textId="77777777" w:rsidR="00033A5E" w:rsidRDefault="00033A5E" w:rsidP="00724CBF">
            <w:pPr>
              <w:pStyle w:val="Compact"/>
            </w:pPr>
            <w:r>
              <w:t>Дэлхийн хүү</w:t>
            </w:r>
          </w:p>
        </w:tc>
        <w:tc>
          <w:tcPr>
            <w:tcW w:w="0" w:type="auto"/>
          </w:tcPr>
          <w:p w14:paraId="6E8996F3" w14:textId="77777777" w:rsidR="00033A5E" w:rsidRDefault="00033A5E" w:rsidP="00724CBF">
            <w:pPr>
              <w:pStyle w:val="Compact"/>
            </w:pPr>
            <w:r>
              <w:t>Өргөтгөл</w:t>
            </w:r>
          </w:p>
        </w:tc>
        <w:tc>
          <w:tcPr>
            <w:tcW w:w="0" w:type="auto"/>
          </w:tcPr>
          <w:p w14:paraId="2F70CBEF" w14:textId="77777777" w:rsidR="00033A5E" w:rsidRDefault="00033A5E" w:rsidP="00724CBF">
            <w:pPr>
              <w:pStyle w:val="Compact"/>
            </w:pPr>
            <w:r>
              <w:t>Идэвхтэй</w:t>
            </w:r>
          </w:p>
        </w:tc>
      </w:tr>
      <w:tr w:rsidR="00033A5E" w14:paraId="398F3739" w14:textId="77777777" w:rsidTr="00724CBF">
        <w:tc>
          <w:tcPr>
            <w:tcW w:w="0" w:type="auto"/>
          </w:tcPr>
          <w:p w14:paraId="2D1D0BD9"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rp</m:t>
                    </m:r>
                  </m:sup>
                </m:sSubSup>
              </m:oMath>
            </m:oMathPara>
          </w:p>
        </w:tc>
        <w:tc>
          <w:tcPr>
            <w:tcW w:w="0" w:type="auto"/>
          </w:tcPr>
          <w:p w14:paraId="4E5C5487" w14:textId="77777777" w:rsidR="00033A5E" w:rsidRDefault="00033A5E" w:rsidP="00724CBF">
            <w:pPr>
              <w:pStyle w:val="Compact"/>
            </w:pPr>
            <w:r>
              <w:t>Улсын эрсдэлийн шагнал</w:t>
            </w:r>
          </w:p>
        </w:tc>
        <w:tc>
          <w:tcPr>
            <w:tcW w:w="0" w:type="auto"/>
          </w:tcPr>
          <w:p w14:paraId="4723B0EF" w14:textId="77777777" w:rsidR="00033A5E" w:rsidRDefault="00033A5E" w:rsidP="00724CBF">
            <w:pPr>
              <w:pStyle w:val="Compact"/>
            </w:pPr>
            <w:r>
              <w:t>Өргөтгөл</w:t>
            </w:r>
          </w:p>
        </w:tc>
        <w:tc>
          <w:tcPr>
            <w:tcW w:w="0" w:type="auto"/>
          </w:tcPr>
          <w:p w14:paraId="3F479E43" w14:textId="77777777" w:rsidR="00033A5E" w:rsidRDefault="00033A5E" w:rsidP="00724CBF">
            <w:pPr>
              <w:pStyle w:val="Compact"/>
            </w:pPr>
            <w:r>
              <w:t>Идэвхтэй</w:t>
            </w:r>
          </w:p>
        </w:tc>
      </w:tr>
      <w:tr w:rsidR="00033A5E" w14:paraId="6DB14A69" w14:textId="77777777" w:rsidTr="00724CBF">
        <w:tc>
          <w:tcPr>
            <w:tcW w:w="0" w:type="auto"/>
          </w:tcPr>
          <w:p w14:paraId="4646591A" w14:textId="77777777" w:rsidR="00033A5E" w:rsidRDefault="00033A5E" w:rsidP="00724CBF">
            <w:pPr>
              <w:pStyle w:val="Compact"/>
            </w:pPr>
            <m:oMathPara>
              <m:oMath>
                <m:sSubSup>
                  <m:sSubSupPr>
                    <m:ctrlPr>
                      <w:rPr>
                        <w:rFonts w:ascii="Cambria Math" w:hAnsi="Cambria Math"/>
                      </w:rPr>
                    </m:ctrlPr>
                  </m:sSubSupPr>
                  <m:e>
                    <m:r>
                      <w:rPr>
                        <w:rFonts w:ascii="Cambria Math" w:hAnsi="Cambria Math"/>
                      </w:rPr>
                      <m:t>ε</m:t>
                    </m:r>
                  </m:e>
                  <m:sub>
                    <m:r>
                      <w:rPr>
                        <w:rFonts w:ascii="Cambria Math" w:hAnsi="Cambria Math"/>
                      </w:rPr>
                      <m:t>t</m:t>
                    </m:r>
                  </m:sub>
                  <m:sup>
                    <m:r>
                      <w:rPr>
                        <w:rFonts w:ascii="Cambria Math" w:hAnsi="Cambria Math"/>
                      </w:rPr>
                      <m:t>mk</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p>
                </m:sSubSup>
              </m:oMath>
            </m:oMathPara>
          </w:p>
        </w:tc>
        <w:tc>
          <w:tcPr>
            <w:tcW w:w="0" w:type="auto"/>
          </w:tcPr>
          <w:p w14:paraId="13D51AA8" w14:textId="77777777" w:rsidR="00033A5E" w:rsidRDefault="00033A5E" w:rsidP="00724CBF">
            <w:pPr>
              <w:pStyle w:val="Compact"/>
            </w:pPr>
            <w:r>
              <w:t>Гадаад валютын хадгаламжийн нэмэгдүүлэлт</w:t>
            </w:r>
          </w:p>
        </w:tc>
        <w:tc>
          <w:tcPr>
            <w:tcW w:w="0" w:type="auto"/>
          </w:tcPr>
          <w:p w14:paraId="716C5B32" w14:textId="77777777" w:rsidR="00033A5E" w:rsidRDefault="00033A5E" w:rsidP="00724CBF">
            <w:pPr>
              <w:pStyle w:val="Compact"/>
            </w:pPr>
            <w:r>
              <w:t>Өргөтгөл</w:t>
            </w:r>
          </w:p>
        </w:tc>
        <w:tc>
          <w:tcPr>
            <w:tcW w:w="0" w:type="auto"/>
          </w:tcPr>
          <w:p w14:paraId="64F387E5" w14:textId="77777777" w:rsidR="00033A5E" w:rsidRDefault="00033A5E" w:rsidP="00724CBF">
            <w:pPr>
              <w:pStyle w:val="Compact"/>
            </w:pPr>
            <w:r>
              <w:t>Идэвхгүй</w:t>
            </w:r>
          </w:p>
        </w:tc>
      </w:tr>
    </w:tbl>
    <w:p w14:paraId="7DF8CB10" w14:textId="45807F67" w:rsidR="00033A5E" w:rsidRDefault="00033A5E">
      <w:pPr>
        <w:pStyle w:val="BodyText"/>
      </w:pPr>
      <w:r>
        <w:t>Тэмдэглэл: Идэвхтэй шокын тоо арван тав бөгөөд ажиглагдах хувьсагчийн тоо арван нэг тул стохастик ганцаарших асуудал үүсэхгүй. Идэвхгүй шокыг загварт үлдээж, вариацыг нь тэгтэй тэнцүү болгосон болно.</w:t>
      </w:r>
    </w:p>
    <w:p w14:paraId="4A47ABC6" w14:textId="2C93B389" w:rsidR="00D117AD" w:rsidRDefault="00000000">
      <w:pPr>
        <w:pStyle w:val="BodyText"/>
      </w:pPr>
      <w:r>
        <w:t xml:space="preserve">Жижиг, нээлттэй эдийн засгийн блокийн гурван шокоос хоёрыг үнэлгээнд идэвхжүүлж, гадаад валютын хадгаламжийн нэмэгдүүлэлтийн шокыг идэвхгүй үлдээв. Уг шокыг идэвхжүүлэхийн тулд гадаад валютын хадгаламжийн хүүг арван хоёр дахь ажиглагдах хувьсагч болгон нэмэх шаардлагатай байсан бөгөөд гурван удаагийн оролдлого амжилтгүй болов. </w:t>
      </w:r>
      <w:r w:rsidR="00D22976" w:rsidRPr="00D22976">
        <w:t>Эхний хувилбарт шокыг хамааралгүй гэж үзэхэд Гессийн матриц бараг ганцаарших болж, шокын стандарт хазайлт урьдчилсан тархалтын доод хязгаарт тогтов. Мөн ажиллуулалтад шокыг персистент болгоход гинж сайн нийлсэн боловч улсын эрсдэлийн шагналын персистенц 0.83-аас 0.13 болж унав. Хоёр дахь хувилбарт энэ нь хуурамч хоёрдогч оргил эсэхийг шалгах зорилгоор оптимизацыг арван нэгэн ажиглагдах хувьсагчтай үнэлгээний оргилоос, өөрөөр хэлбэл шагналын персистенц 0.83 байх цэгээс эхлүүлэв. Оптимизатор тэр бүсийг орхиж, 0.14 руу шилжсэн нь зөрчил нь өгөгдлийн шинж болохыг харуулна. Гурав дахь хувилбарт гадаад валютын хадгаламжийн хүүний зохицуулалтын зардлыг чөлөөлөхөд уг параметр 235 хүртэл өссөн ч шагналын персистенц 0.14-т хэвээр үлдэв.</w:t>
      </w:r>
      <w:r>
        <w:t xml:space="preserve"> Эдгээрийн оношилгоо нь Монголын гадаад валютын хадгаламжийн хүү захиргааны шинжтэй тогтоогддог бөгөөд загварын бүтцээр таамаглаж буй гадаад санхүүжилтийн өртөгтэй холбоотой хөдөлгөөнийг үзүүлдэггүйд оршино. Иймд уг шокыг загварт үлдээж, вариацыг нь тэгтэй тэнцүү болгов. Ийнхүү идэвхтэй шокын тоо арван тав болох боловч тэдгээрийн стандарт хазайлтаас арван гурвыг үнэлж, хоёрыг нь дараах хоёр шаттай процедурын дагуу тогтоосон болно. Гурван оролдлогын дэлгэрэнгүй үр дүнг Хавсралт C-д үзүүлэв.</w:t>
      </w:r>
    </w:p>
    <w:p w14:paraId="1E474C0C" w14:textId="33EB3A7B" w:rsidR="007A161E" w:rsidRDefault="00D22976">
      <w:pPr>
        <w:pStyle w:val="BodyText"/>
      </w:pPr>
      <w:r>
        <w:t>Ү</w:t>
      </w:r>
      <w:r w:rsidR="00033A5E" w:rsidRPr="00033A5E">
        <w:t>нэлэгдэх параметрийн сонголтыг хоёр шатаар хийлээ. Эх загварын хүрээнд гучин найман параметр үнэлэгдэх бөгөөд жижиг, нээлттэй эдийн засгийн өргөтгөл дөрвийг нэмнэ: дэлхийн хүү болон улсын эрсдэлийн шагналын персистенц, тэдгээрийн шокын стандарт хазайлт. Ийнхүү бүрэн тодорхойлолт дөчин хоёр параметртэй болно.</w:t>
      </w:r>
      <w:r w:rsidR="00000000">
        <w:t xml:space="preserve"> Эхний шатанд бүх шокын процессыг үнэлсэн дөчин хоёр параметртэй загварын тодорхойлолтыг үнэлэв. Уг үнэлгээний үр дүнд зургаан параметр нь өгөгдлөөс мэдээлэл аваагүйн хоёр өөр шинжийг үзүүлэв. Хоёр шокын стандарт хазайлт тэг рүү шахагдаж, вариацын задаргаанд эзлэх хувь нь нэг хувиас доош байв. Үлдсэн дөрөв нь хойдчилсон интервал маш өргөн байсан, эсхүл хойдчилсон дундаж урьдчилсан дунджаасаа бараг хөдлөөгүй. Хоёр дахь шатанд эдгээр зургаан параметрийг урьдчилсан үнэлгээний хойдчилсон дунджид тогтоож, үлдсэн гучин зургааг үнэл</w:t>
      </w:r>
      <w:r w:rsidR="002E2136">
        <w:t>лээ</w:t>
      </w:r>
      <w:r w:rsidR="00000000">
        <w:t>. Тогтоосон параметр, тэдгээрийн урьдчилсан дундаж болон тогтоосон утгыг Хүснэгт 5-т харьцуулан үзүүлэв.</w:t>
      </w:r>
    </w:p>
    <w:p w14:paraId="08FDFF33" w14:textId="77777777" w:rsidR="00D117AD" w:rsidRDefault="00D117AD" w:rsidP="00D117AD">
      <w:pPr>
        <w:pStyle w:val="BodyText"/>
      </w:pPr>
      <w:r>
        <w:rPr>
          <w:b/>
          <w:bCs/>
        </w:rPr>
        <w:lastRenderedPageBreak/>
        <w:t>Хүснэгт 5.</w:t>
      </w:r>
      <w:r>
        <w:t xml:space="preserve"> Урьдчилсан үнэлгээний дунджид тогтоосон параметр</w:t>
      </w:r>
    </w:p>
    <w:tbl>
      <w:tblPr>
        <w:tblStyle w:val="Table"/>
        <w:tblW w:w="5000" w:type="pct"/>
        <w:tblLook w:val="0020" w:firstRow="1" w:lastRow="0" w:firstColumn="0" w:lastColumn="0" w:noHBand="0" w:noVBand="0"/>
      </w:tblPr>
      <w:tblGrid>
        <w:gridCol w:w="1206"/>
        <w:gridCol w:w="4896"/>
        <w:gridCol w:w="1915"/>
        <w:gridCol w:w="1559"/>
      </w:tblGrid>
      <w:tr w:rsidR="00D117AD" w14:paraId="60D78916" w14:textId="77777777" w:rsidTr="00724CBF">
        <w:trPr>
          <w:cnfStyle w:val="100000000000" w:firstRow="1" w:lastRow="0" w:firstColumn="0" w:lastColumn="0" w:oddVBand="0" w:evenVBand="0" w:oddHBand="0" w:evenHBand="0" w:firstRowFirstColumn="0" w:firstRowLastColumn="0" w:lastRowFirstColumn="0" w:lastRowLastColumn="0"/>
          <w:tblHeader/>
        </w:trPr>
        <w:tc>
          <w:tcPr>
            <w:tcW w:w="0" w:type="auto"/>
          </w:tcPr>
          <w:p w14:paraId="1333FA1B" w14:textId="77777777" w:rsidR="00D117AD" w:rsidRDefault="00D117AD" w:rsidP="00724CBF">
            <w:pPr>
              <w:pStyle w:val="Compact"/>
            </w:pPr>
            <w:r>
              <w:t>Параметр</w:t>
            </w:r>
          </w:p>
        </w:tc>
        <w:tc>
          <w:tcPr>
            <w:tcW w:w="0" w:type="auto"/>
          </w:tcPr>
          <w:p w14:paraId="4C0EA896" w14:textId="77777777" w:rsidR="00D117AD" w:rsidRDefault="00D117AD" w:rsidP="00724CBF">
            <w:pPr>
              <w:pStyle w:val="Compact"/>
            </w:pPr>
            <w:r>
              <w:t>Тайлбар</w:t>
            </w:r>
          </w:p>
        </w:tc>
        <w:tc>
          <w:tcPr>
            <w:tcW w:w="0" w:type="auto"/>
          </w:tcPr>
          <w:p w14:paraId="696666F8" w14:textId="77777777" w:rsidR="00D117AD" w:rsidRDefault="00D117AD" w:rsidP="00724CBF">
            <w:pPr>
              <w:pStyle w:val="Compact"/>
            </w:pPr>
            <w:r>
              <w:t>Урьдчилсан дундаж</w:t>
            </w:r>
          </w:p>
        </w:tc>
        <w:tc>
          <w:tcPr>
            <w:tcW w:w="0" w:type="auto"/>
          </w:tcPr>
          <w:p w14:paraId="18892830" w14:textId="77777777" w:rsidR="00D117AD" w:rsidRDefault="00D117AD" w:rsidP="00724CBF">
            <w:pPr>
              <w:pStyle w:val="Compact"/>
            </w:pPr>
            <w:r>
              <w:t>Тогтоосон утга</w:t>
            </w:r>
          </w:p>
        </w:tc>
      </w:tr>
      <w:tr w:rsidR="00D117AD" w14:paraId="0005E677" w14:textId="77777777" w:rsidTr="00724CBF">
        <w:tc>
          <w:tcPr>
            <w:tcW w:w="0" w:type="auto"/>
          </w:tcPr>
          <w:p w14:paraId="47B2EE0E" w14:textId="77777777" w:rsidR="00D117AD" w:rsidRDefault="00D117AD" w:rsidP="00724CBF">
            <w:pPr>
              <w:pStyle w:val="Compact"/>
            </w:pPr>
            <m:oMathPara>
              <m:oMath>
                <m:sSub>
                  <m:sSubPr>
                    <m:ctrlPr>
                      <w:rPr>
                        <w:rFonts w:ascii="Cambria Math" w:hAnsi="Cambria Math"/>
                      </w:rPr>
                    </m:ctrlPr>
                  </m:sSubPr>
                  <m:e>
                    <m:r>
                      <w:rPr>
                        <w:rFonts w:ascii="Cambria Math" w:hAnsi="Cambria Math"/>
                      </w:rPr>
                      <m:t>ρ</m:t>
                    </m:r>
                  </m:e>
                  <m:sub>
                    <m:sSup>
                      <m:sSupPr>
                        <m:ctrlPr>
                          <w:rPr>
                            <w:rFonts w:ascii="Cambria Math" w:hAnsi="Cambria Math"/>
                          </w:rPr>
                        </m:ctrlPr>
                      </m:sSupPr>
                      <m:e>
                        <m:r>
                          <w:rPr>
                            <w:rFonts w:ascii="Cambria Math" w:hAnsi="Cambria Math"/>
                          </w:rPr>
                          <m:t>m</m:t>
                        </m:r>
                      </m:e>
                      <m:sup>
                        <m:r>
                          <w:rPr>
                            <w:rFonts w:ascii="Cambria Math" w:hAnsi="Cambria Math"/>
                          </w:rPr>
                          <m:t>I</m:t>
                        </m:r>
                      </m:sup>
                    </m:sSup>
                  </m:sub>
                </m:sSub>
              </m:oMath>
            </m:oMathPara>
          </w:p>
        </w:tc>
        <w:tc>
          <w:tcPr>
            <w:tcW w:w="0" w:type="auto"/>
          </w:tcPr>
          <w:p w14:paraId="3663597E" w14:textId="77777777" w:rsidR="00D117AD" w:rsidRDefault="00D117AD" w:rsidP="00724CBF">
            <w:pPr>
              <w:pStyle w:val="Compact"/>
            </w:pPr>
            <w:r>
              <w:t>Өрхийн зээл-барьцааны харьцааны шокын персистенц</w:t>
            </w:r>
          </w:p>
        </w:tc>
        <w:tc>
          <w:tcPr>
            <w:tcW w:w="0" w:type="auto"/>
          </w:tcPr>
          <w:p w14:paraId="1C6CF86A" w14:textId="77777777" w:rsidR="00D117AD" w:rsidRDefault="00D117AD" w:rsidP="00724CBF">
            <w:pPr>
              <w:pStyle w:val="Compact"/>
            </w:pPr>
            <w:r>
              <w:t>0.80</w:t>
            </w:r>
          </w:p>
        </w:tc>
        <w:tc>
          <w:tcPr>
            <w:tcW w:w="0" w:type="auto"/>
          </w:tcPr>
          <w:p w14:paraId="1B82B27B" w14:textId="77777777" w:rsidR="00D117AD" w:rsidRDefault="00D117AD" w:rsidP="00724CBF">
            <w:pPr>
              <w:pStyle w:val="Compact"/>
            </w:pPr>
            <w:r>
              <w:t>0.9515</w:t>
            </w:r>
          </w:p>
        </w:tc>
      </w:tr>
      <w:tr w:rsidR="00D117AD" w14:paraId="34E79EA8" w14:textId="77777777" w:rsidTr="00724CBF">
        <w:tc>
          <w:tcPr>
            <w:tcW w:w="0" w:type="auto"/>
          </w:tcPr>
          <w:p w14:paraId="7D67052B" w14:textId="77777777" w:rsidR="00D117AD" w:rsidRDefault="00D117AD" w:rsidP="00724CBF">
            <w:pPr>
              <w:pStyle w:val="Compact"/>
            </w:pPr>
            <m:oMathPara>
              <m:oMath>
                <m:sSub>
                  <m:sSubPr>
                    <m:ctrlPr>
                      <w:rPr>
                        <w:rFonts w:ascii="Cambria Math" w:hAnsi="Cambria Math"/>
                      </w:rPr>
                    </m:ctrlPr>
                  </m:sSubPr>
                  <m:e>
                    <m:r>
                      <w:rPr>
                        <w:rFonts w:ascii="Cambria Math" w:hAnsi="Cambria Math"/>
                      </w:rPr>
                      <m:t>ρ</m:t>
                    </m:r>
                  </m:e>
                  <m:sub>
                    <m:sSup>
                      <m:sSupPr>
                        <m:ctrlPr>
                          <w:rPr>
                            <w:rFonts w:ascii="Cambria Math" w:hAnsi="Cambria Math"/>
                          </w:rPr>
                        </m:ctrlPr>
                      </m:sSupPr>
                      <m:e>
                        <m:r>
                          <w:rPr>
                            <w:rFonts w:ascii="Cambria Math" w:hAnsi="Cambria Math"/>
                          </w:rPr>
                          <m:t>m</m:t>
                        </m:r>
                      </m:e>
                      <m:sup>
                        <m:r>
                          <w:rPr>
                            <w:rFonts w:ascii="Cambria Math" w:hAnsi="Cambria Math"/>
                          </w:rPr>
                          <m:t>E</m:t>
                        </m:r>
                      </m:sup>
                    </m:sSup>
                  </m:sub>
                </m:sSub>
              </m:oMath>
            </m:oMathPara>
          </w:p>
        </w:tc>
        <w:tc>
          <w:tcPr>
            <w:tcW w:w="0" w:type="auto"/>
          </w:tcPr>
          <w:p w14:paraId="743E4DB0" w14:textId="77777777" w:rsidR="00D117AD" w:rsidRDefault="00D117AD" w:rsidP="00724CBF">
            <w:pPr>
              <w:pStyle w:val="Compact"/>
            </w:pPr>
            <w:r>
              <w:t>Аж ахуй эрхлэгчийн зээл-барьцааны харьцааны шокын персистенц</w:t>
            </w:r>
          </w:p>
        </w:tc>
        <w:tc>
          <w:tcPr>
            <w:tcW w:w="0" w:type="auto"/>
          </w:tcPr>
          <w:p w14:paraId="15374583" w14:textId="77777777" w:rsidR="00D117AD" w:rsidRDefault="00D117AD" w:rsidP="00724CBF">
            <w:pPr>
              <w:pStyle w:val="Compact"/>
            </w:pPr>
            <w:r>
              <w:t>0.80</w:t>
            </w:r>
          </w:p>
        </w:tc>
        <w:tc>
          <w:tcPr>
            <w:tcW w:w="0" w:type="auto"/>
          </w:tcPr>
          <w:p w14:paraId="04726DB6" w14:textId="77777777" w:rsidR="00D117AD" w:rsidRDefault="00D117AD" w:rsidP="00724CBF">
            <w:pPr>
              <w:pStyle w:val="Compact"/>
            </w:pPr>
            <w:r>
              <w:t>0.9448</w:t>
            </w:r>
          </w:p>
        </w:tc>
      </w:tr>
      <w:tr w:rsidR="00D117AD" w14:paraId="2B065FA9" w14:textId="77777777" w:rsidTr="00724CBF">
        <w:tc>
          <w:tcPr>
            <w:tcW w:w="0" w:type="auto"/>
          </w:tcPr>
          <w:p w14:paraId="34BE6E12" w14:textId="77777777" w:rsidR="00D117AD" w:rsidRDefault="00D117AD" w:rsidP="00724CBF">
            <w:pPr>
              <w:pStyle w:val="Compact"/>
            </w:pPr>
            <m:oMathPara>
              <m:oMath>
                <m:sSub>
                  <m:sSubPr>
                    <m:ctrlPr>
                      <w:rPr>
                        <w:rFonts w:ascii="Cambria Math" w:hAnsi="Cambria Math"/>
                      </w:rPr>
                    </m:ctrlPr>
                  </m:sSubPr>
                  <m:e>
                    <m:r>
                      <w:rPr>
                        <w:rFonts w:ascii="Cambria Math" w:hAnsi="Cambria Math"/>
                      </w:rPr>
                      <m:t>ρ</m:t>
                    </m:r>
                  </m:e>
                  <m:sub>
                    <m:r>
                      <w:rPr>
                        <w:rFonts w:ascii="Cambria Math" w:hAnsi="Cambria Math"/>
                      </w:rPr>
                      <m:t>bH</m:t>
                    </m:r>
                  </m:sub>
                </m:sSub>
              </m:oMath>
            </m:oMathPara>
          </w:p>
        </w:tc>
        <w:tc>
          <w:tcPr>
            <w:tcW w:w="0" w:type="auto"/>
          </w:tcPr>
          <w:p w14:paraId="0891769E" w14:textId="77777777" w:rsidR="00D117AD" w:rsidRDefault="00D117AD" w:rsidP="00724CBF">
            <w:pPr>
              <w:pStyle w:val="Compact"/>
            </w:pPr>
            <w:r>
              <w:t>Орон сууцны зээлийн нэмэгдүүлэлтийн шокын персистенц</w:t>
            </w:r>
          </w:p>
        </w:tc>
        <w:tc>
          <w:tcPr>
            <w:tcW w:w="0" w:type="auto"/>
          </w:tcPr>
          <w:p w14:paraId="4F804937" w14:textId="77777777" w:rsidR="00D117AD" w:rsidRDefault="00D117AD" w:rsidP="00724CBF">
            <w:pPr>
              <w:pStyle w:val="Compact"/>
            </w:pPr>
            <w:r>
              <w:t>0.80</w:t>
            </w:r>
          </w:p>
        </w:tc>
        <w:tc>
          <w:tcPr>
            <w:tcW w:w="0" w:type="auto"/>
          </w:tcPr>
          <w:p w14:paraId="07859734" w14:textId="77777777" w:rsidR="00D117AD" w:rsidRDefault="00D117AD" w:rsidP="00724CBF">
            <w:pPr>
              <w:pStyle w:val="Compact"/>
            </w:pPr>
            <w:r>
              <w:t>0.8463</w:t>
            </w:r>
          </w:p>
        </w:tc>
      </w:tr>
      <w:tr w:rsidR="00D117AD" w14:paraId="394FBACF" w14:textId="77777777" w:rsidTr="00724CBF">
        <w:tc>
          <w:tcPr>
            <w:tcW w:w="0" w:type="auto"/>
          </w:tcPr>
          <w:p w14:paraId="2E90B1F5" w14:textId="77777777" w:rsidR="00D117AD" w:rsidRDefault="00D117AD" w:rsidP="00724CBF">
            <w:pPr>
              <w:pStyle w:val="Compact"/>
            </w:pPr>
            <m:oMathPara>
              <m:oMath>
                <m:sSub>
                  <m:sSubPr>
                    <m:ctrlPr>
                      <w:rPr>
                        <w:rFonts w:ascii="Cambria Math" w:hAnsi="Cambria Math"/>
                      </w:rPr>
                    </m:ctrlPr>
                  </m:sSubPr>
                  <m:e>
                    <m:r>
                      <w:rPr>
                        <w:rFonts w:ascii="Cambria Math" w:hAnsi="Cambria Math"/>
                      </w:rPr>
                      <m:t>κ</m:t>
                    </m:r>
                  </m:e>
                  <m:sub>
                    <m:r>
                      <w:rPr>
                        <w:rFonts w:ascii="Cambria Math" w:hAnsi="Cambria Math"/>
                      </w:rPr>
                      <m:t>bE</m:t>
                    </m:r>
                  </m:sub>
                </m:sSub>
              </m:oMath>
            </m:oMathPara>
          </w:p>
        </w:tc>
        <w:tc>
          <w:tcPr>
            <w:tcW w:w="0" w:type="auto"/>
          </w:tcPr>
          <w:p w14:paraId="0007DC80" w14:textId="77777777" w:rsidR="00D117AD" w:rsidRDefault="00D117AD" w:rsidP="00724CBF">
            <w:pPr>
              <w:pStyle w:val="Compact"/>
            </w:pPr>
            <w:r>
              <w:t>Аж ахуй эрхлэгчийн зээлийн хүүний зохицуулалтын зардал</w:t>
            </w:r>
          </w:p>
        </w:tc>
        <w:tc>
          <w:tcPr>
            <w:tcW w:w="0" w:type="auto"/>
          </w:tcPr>
          <w:p w14:paraId="48A2BB78" w14:textId="77777777" w:rsidR="00D117AD" w:rsidRDefault="00D117AD" w:rsidP="00724CBF">
            <w:pPr>
              <w:pStyle w:val="Compact"/>
            </w:pPr>
            <w:r>
              <w:t>3.00</w:t>
            </w:r>
          </w:p>
        </w:tc>
        <w:tc>
          <w:tcPr>
            <w:tcW w:w="0" w:type="auto"/>
          </w:tcPr>
          <w:p w14:paraId="25FEC170" w14:textId="77777777" w:rsidR="00D117AD" w:rsidRDefault="00D117AD" w:rsidP="00724CBF">
            <w:pPr>
              <w:pStyle w:val="Compact"/>
            </w:pPr>
            <w:r>
              <w:t>3.04</w:t>
            </w:r>
          </w:p>
        </w:tc>
      </w:tr>
      <w:tr w:rsidR="00D117AD" w14:paraId="206EF1E2" w14:textId="77777777" w:rsidTr="00724CBF">
        <w:tc>
          <w:tcPr>
            <w:tcW w:w="0" w:type="auto"/>
          </w:tcPr>
          <w:p w14:paraId="42BE57DD" w14:textId="77777777" w:rsidR="00D117AD" w:rsidRDefault="00D117AD" w:rsidP="00724CBF">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bH</m:t>
                    </m:r>
                  </m:sub>
                </m:sSub>
              </m:oMath>
            </m:oMathPara>
          </w:p>
        </w:tc>
        <w:tc>
          <w:tcPr>
            <w:tcW w:w="0" w:type="auto"/>
          </w:tcPr>
          <w:p w14:paraId="1B3D89C3" w14:textId="77777777" w:rsidR="00D117AD" w:rsidRDefault="00D117AD" w:rsidP="00724CBF">
            <w:pPr>
              <w:pStyle w:val="Compact"/>
            </w:pPr>
            <w:r>
              <w:t>Орон сууцны зээлийн нэмэгдүүлэлтийн шокын стандарт хазайлт</w:t>
            </w:r>
          </w:p>
        </w:tc>
        <w:tc>
          <w:tcPr>
            <w:tcW w:w="0" w:type="auto"/>
          </w:tcPr>
          <w:p w14:paraId="22DAB477" w14:textId="77777777" w:rsidR="00D117AD" w:rsidRDefault="00D117AD" w:rsidP="00724CBF">
            <w:pPr>
              <w:pStyle w:val="Compact"/>
            </w:pPr>
            <w:r>
              <w:t>0.01</w:t>
            </w:r>
          </w:p>
        </w:tc>
        <w:tc>
          <w:tcPr>
            <w:tcW w:w="0" w:type="auto"/>
          </w:tcPr>
          <w:p w14:paraId="3B49FCAB" w14:textId="77777777" w:rsidR="00D117AD" w:rsidRDefault="00D117AD" w:rsidP="00724CBF">
            <w:pPr>
              <w:pStyle w:val="Compact"/>
            </w:pPr>
            <w:r>
              <w:t>0.0047</w:t>
            </w:r>
          </w:p>
        </w:tc>
      </w:tr>
      <w:tr w:rsidR="00D117AD" w14:paraId="24AB16D3" w14:textId="77777777" w:rsidTr="00724CBF">
        <w:tc>
          <w:tcPr>
            <w:tcW w:w="0" w:type="auto"/>
          </w:tcPr>
          <w:p w14:paraId="5B4222B2" w14:textId="77777777" w:rsidR="00D117AD" w:rsidRDefault="00D117AD" w:rsidP="00724CBF">
            <w:pPr>
              <w:pStyle w:val="Compact"/>
            </w:pPr>
            <m:oMathPara>
              <m:oMath>
                <m:sSub>
                  <m:sSubPr>
                    <m:ctrlPr>
                      <w:rPr>
                        <w:rFonts w:ascii="Cambria Math" w:hAnsi="Cambria Math"/>
                      </w:rPr>
                    </m:ctrlPr>
                  </m:sSubPr>
                  <m:e>
                    <m:r>
                      <w:rPr>
                        <w:rFonts w:ascii="Cambria Math" w:hAnsi="Cambria Math"/>
                      </w:rPr>
                      <m:t>σ</m:t>
                    </m:r>
                  </m:e>
                  <m:sub>
                    <m:r>
                      <w:rPr>
                        <w:rFonts w:ascii="Cambria Math" w:hAnsi="Cambria Math"/>
                      </w:rPr>
                      <m:t>l</m:t>
                    </m:r>
                  </m:sub>
                </m:sSub>
              </m:oMath>
            </m:oMathPara>
          </w:p>
        </w:tc>
        <w:tc>
          <w:tcPr>
            <w:tcW w:w="0" w:type="auto"/>
          </w:tcPr>
          <w:p w14:paraId="1339FE54" w14:textId="77777777" w:rsidR="00D117AD" w:rsidRDefault="00D117AD" w:rsidP="00724CBF">
            <w:pPr>
              <w:pStyle w:val="Compact"/>
            </w:pPr>
            <w:r>
              <w:t>Цалингийн нэмэгдүүлэлтийн шокын стандарт хазайлт</w:t>
            </w:r>
          </w:p>
        </w:tc>
        <w:tc>
          <w:tcPr>
            <w:tcW w:w="0" w:type="auto"/>
          </w:tcPr>
          <w:p w14:paraId="32DE9311" w14:textId="77777777" w:rsidR="00D117AD" w:rsidRDefault="00D117AD" w:rsidP="00724CBF">
            <w:pPr>
              <w:pStyle w:val="Compact"/>
            </w:pPr>
            <w:r>
              <w:t>0.01</w:t>
            </w:r>
          </w:p>
        </w:tc>
        <w:tc>
          <w:tcPr>
            <w:tcW w:w="0" w:type="auto"/>
          </w:tcPr>
          <w:p w14:paraId="1FBCAFA5" w14:textId="77777777" w:rsidR="00D117AD" w:rsidRDefault="00D117AD" w:rsidP="00724CBF">
            <w:pPr>
              <w:pStyle w:val="Compact"/>
            </w:pPr>
            <w:r>
              <w:t>0.0047</w:t>
            </w:r>
          </w:p>
        </w:tc>
      </w:tr>
    </w:tbl>
    <w:p w14:paraId="0DE799A5" w14:textId="529753E0" w:rsidR="00D117AD" w:rsidRDefault="00D117AD">
      <w:pPr>
        <w:pStyle w:val="BodyText"/>
      </w:pPr>
      <w:r>
        <w:t>Тэмдэглэл: Тогтоосон утга нь бүх шокын процессыг үнэлсэн урьдчилсан үнэлгээний хойдчилсон дундаж юм. Аж ахуй эрхлэгчийн зээлийн хүүний зохицуулалтын зардал болон орон сууцны зээлийн нэмэгдүүлэлтийн шокын персистенц урьдчилсан дунджаа бараг давтсан бол хоёр шокын стандарт хазайлт урьдчилсан дунджаас доош шахагдсан болно.</w:t>
      </w:r>
    </w:p>
    <w:p w14:paraId="303D19F7" w14:textId="77777777" w:rsidR="007A161E" w:rsidRDefault="00000000">
      <w:pPr>
        <w:pStyle w:val="BodyText"/>
      </w:pPr>
      <w:r>
        <w:t>Хоёр шаттай процедурын үр дүн гурван шинжээр илэрнэ. Нэгдүгээрт, загварын логарифм магадлал 1781.9-өөс 1787.8 болж 5.9 нэгжээр өссөн нь өгөгдөл хэмнэлттэй тодорхойлолтыг илт илүүд үзэж байгааг харуулна. Хоёрдугаарт, гол сонирхлын зүйл болох улсын эрсдэлийн шагналын персистенц бараг өөрчлөгдөөгүй буюу 0.830-аас 0.831 болов. Гуравдугаарт, түүний 90 хувийн хойдчилсон интервалын өргөн есөн хувиар нарийсав. Өөрөөр хэлбэл мэдээлэл аваагүй параметрийг үнэлгээнээс хасах нь гол үр дүнг өөрчлөхгүйгээр түүний нарийвчлалыг сайжруулав.</w:t>
      </w:r>
    </w:p>
    <w:p w14:paraId="3319D5A6" w14:textId="77777777" w:rsidR="007A161E" w:rsidRDefault="00000000">
      <w:pPr>
        <w:pStyle w:val="BodyText"/>
      </w:pPr>
      <w:r>
        <w:t>Уг процедурын нэг арга зүйн онцлогийг ил тод тэмдэглэх нь зүйтэй. Зургаан параметрийг тогтоохдоо өгөгдлийг хоёр удаа ашигласан буюу эхлээд үнэлэхэд, дараа нь калибрлахад хэрэглэсэн болно. Энэ нь Bayesian хандлагын хатуу зарчмаас хазайх бөгөөд хоёр үндэслэлээр зөвтгөгдөнө. Нэгдүгээрт, тогтоосон утга нь өгөгдлөөс мэдээлэл аваагүй параметрүүдийнх тул мэдээллийн давхардал өчүүхэн юм. Хоёрдугаарт, бүх шокын процессыг үнэлсэн дөчин хоёр параметртэй тодорхойлолтыг бат бөх байдлын шинжилгээнд бүрэн эрхтэйгээр үлдээсэн бөгөөд тэнд улсын эрсдэлийн шагналын персистенц 0.830 гэж үнэлэгдсэн нь эцсийн тодорхойлолтын 0.831-тэй бараг ижил байна. Өөрөөр хэлбэл гол үр дүн уг процедураас хамаарахгүй бөгөөд уншигч аль ч замаар үүнийг шалгах боломжтой.</w:t>
      </w:r>
    </w:p>
    <w:p w14:paraId="01260EA3" w14:textId="4C45D84B" w:rsidR="007A161E" w:rsidRDefault="00E2692B">
      <w:pPr>
        <w:pStyle w:val="BodyText"/>
      </w:pPr>
      <w:r w:rsidRPr="00E2692B">
        <w:t xml:space="preserve">Эцэст нь энэхүү туршлага өмнөх бүлгийн системчилсэн тоймд тодорхойлсон </w:t>
      </w:r>
      <w:r w:rsidRPr="00E2692B">
        <w:rPr>
          <w:rStyle w:val="Strong"/>
          <w:b w:val="0"/>
          <w:bCs w:val="0"/>
        </w:rPr>
        <w:t>таних боломжийн саадын</w:t>
      </w:r>
      <w:r w:rsidRPr="00E2692B">
        <w:t xml:space="preserve"> бодит илрэл болохыг тэмдэглэе.</w:t>
      </w:r>
      <w:r w:rsidR="00000000">
        <w:t xml:space="preserve"> Хаалттай эдийн засгийн судалгаанд ашиглагддаг санхүүгийн дохио жижиг, нээлттэй эдийн засагт хэмжигдэхэд бэрх байдаг бөгөөд Монголын хувьд гадаад валютын хадгаламжийн хүү яг ийм тохиолдол болов. Уг </w:t>
      </w:r>
      <w:r w:rsidR="00000000">
        <w:lastRenderedPageBreak/>
        <w:t>саадыг даван туулах арга нь тухайн шокыг албадан үнэлэх бус, өгөгдлийн хязгаарлалтыг хүлээн зөвшөөрч, түүнийг ил тод баримтжуулах явдал юм.</w:t>
      </w:r>
    </w:p>
    <w:bookmarkEnd w:id="0"/>
    <w:p w14:paraId="68227321" w14:textId="3048405A" w:rsidR="007A161E" w:rsidRDefault="007A161E">
      <w:pPr>
        <w:pStyle w:val="BodyText"/>
      </w:pPr>
    </w:p>
    <w:sectPr w:rsidR="007A161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E3E2C" w14:textId="77777777" w:rsidR="00EE0BA4" w:rsidRDefault="00EE0BA4">
      <w:pPr>
        <w:spacing w:after="0"/>
      </w:pPr>
      <w:r>
        <w:separator/>
      </w:r>
    </w:p>
  </w:endnote>
  <w:endnote w:type="continuationSeparator" w:id="0">
    <w:p w14:paraId="18C90C5D" w14:textId="77777777" w:rsidR="00EE0BA4" w:rsidRDefault="00EE0BA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DDE65" w14:textId="77777777" w:rsidR="00EE0BA4" w:rsidRDefault="00EE0BA4">
      <w:r>
        <w:separator/>
      </w:r>
    </w:p>
  </w:footnote>
  <w:footnote w:type="continuationSeparator" w:id="0">
    <w:p w14:paraId="0AC694E6" w14:textId="77777777" w:rsidR="00EE0BA4" w:rsidRDefault="00EE0B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DFE110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1940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xNjQzNLU0szA2NDUwsDBU0lEKTi0uzszPAykwrAUAHs2mRSwAAAA="/>
  </w:docVars>
  <w:rsids>
    <w:rsidRoot w:val="007A161E"/>
    <w:rsid w:val="00033A5E"/>
    <w:rsid w:val="00062A8C"/>
    <w:rsid w:val="002E2136"/>
    <w:rsid w:val="00394BB2"/>
    <w:rsid w:val="004F577E"/>
    <w:rsid w:val="007A161E"/>
    <w:rsid w:val="00D117AD"/>
    <w:rsid w:val="00D22976"/>
    <w:rsid w:val="00E2692B"/>
    <w:rsid w:val="00EE0BA4"/>
    <w:rsid w:val="00FA606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213AA"/>
  <w15:docId w15:val="{15AB6C62-0CD0-425B-888D-41B857CBB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000000"/>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Times New Roman" w:hAnsi="Times New Roman"/>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Times New Roman" w:hAnsi="Times New Roman"/>
      <w:b/>
      <w:color w:val="007020"/>
      <w:sz w:val="22"/>
    </w:rPr>
  </w:style>
  <w:style w:type="character" w:customStyle="1" w:styleId="DataTypeTok">
    <w:name w:val="DataTypeTok"/>
    <w:basedOn w:val="VerbatimChar"/>
    <w:rPr>
      <w:rFonts w:ascii="Times New Roman" w:hAnsi="Times New Roman"/>
      <w:color w:val="902000"/>
      <w:sz w:val="22"/>
    </w:rPr>
  </w:style>
  <w:style w:type="character" w:customStyle="1" w:styleId="DecValTok">
    <w:name w:val="DecValTok"/>
    <w:basedOn w:val="VerbatimChar"/>
    <w:rPr>
      <w:rFonts w:ascii="Times New Roman" w:hAnsi="Times New Roman"/>
      <w:color w:val="40A070"/>
      <w:sz w:val="22"/>
    </w:rPr>
  </w:style>
  <w:style w:type="character" w:customStyle="1" w:styleId="BaseNTok">
    <w:name w:val="BaseNTok"/>
    <w:basedOn w:val="VerbatimChar"/>
    <w:rPr>
      <w:rFonts w:ascii="Times New Roman" w:hAnsi="Times New Roman"/>
      <w:color w:val="40A070"/>
      <w:sz w:val="22"/>
    </w:rPr>
  </w:style>
  <w:style w:type="character" w:customStyle="1" w:styleId="FloatTok">
    <w:name w:val="FloatTok"/>
    <w:basedOn w:val="VerbatimChar"/>
    <w:rPr>
      <w:rFonts w:ascii="Times New Roman" w:hAnsi="Times New Roman"/>
      <w:color w:val="40A070"/>
      <w:sz w:val="22"/>
    </w:rPr>
  </w:style>
  <w:style w:type="character" w:customStyle="1" w:styleId="ConstantTok">
    <w:name w:val="ConstantTok"/>
    <w:basedOn w:val="VerbatimChar"/>
    <w:rPr>
      <w:rFonts w:ascii="Times New Roman" w:hAnsi="Times New Roman"/>
      <w:color w:val="880000"/>
      <w:sz w:val="22"/>
    </w:rPr>
  </w:style>
  <w:style w:type="character" w:customStyle="1" w:styleId="CharTok">
    <w:name w:val="CharTok"/>
    <w:basedOn w:val="VerbatimChar"/>
    <w:rPr>
      <w:rFonts w:ascii="Times New Roman" w:hAnsi="Times New Roman"/>
      <w:color w:val="4070A0"/>
      <w:sz w:val="22"/>
    </w:rPr>
  </w:style>
  <w:style w:type="character" w:customStyle="1" w:styleId="SpecialCharTok">
    <w:name w:val="SpecialCharTok"/>
    <w:basedOn w:val="VerbatimChar"/>
    <w:rPr>
      <w:rFonts w:ascii="Times New Roman" w:hAnsi="Times New Roman"/>
      <w:color w:val="4070A0"/>
      <w:sz w:val="22"/>
    </w:rPr>
  </w:style>
  <w:style w:type="character" w:customStyle="1" w:styleId="StringTok">
    <w:name w:val="StringTok"/>
    <w:basedOn w:val="VerbatimChar"/>
    <w:rPr>
      <w:rFonts w:ascii="Times New Roman" w:hAnsi="Times New Roman"/>
      <w:color w:val="4070A0"/>
      <w:sz w:val="22"/>
    </w:rPr>
  </w:style>
  <w:style w:type="character" w:customStyle="1" w:styleId="VerbatimStringTok">
    <w:name w:val="VerbatimStringTok"/>
    <w:basedOn w:val="VerbatimChar"/>
    <w:rPr>
      <w:rFonts w:ascii="Times New Roman" w:hAnsi="Times New Roman"/>
      <w:color w:val="4070A0"/>
      <w:sz w:val="22"/>
    </w:rPr>
  </w:style>
  <w:style w:type="character" w:customStyle="1" w:styleId="SpecialStringTok">
    <w:name w:val="SpecialStringTok"/>
    <w:basedOn w:val="VerbatimChar"/>
    <w:rPr>
      <w:rFonts w:ascii="Times New Roman" w:hAnsi="Times New Roman"/>
      <w:color w:val="BB6688"/>
      <w:sz w:val="22"/>
    </w:rPr>
  </w:style>
  <w:style w:type="character" w:customStyle="1" w:styleId="ImportTok">
    <w:name w:val="ImportTok"/>
    <w:basedOn w:val="VerbatimChar"/>
    <w:rPr>
      <w:rFonts w:ascii="Times New Roman" w:hAnsi="Times New Roman"/>
      <w:b/>
      <w:color w:val="008000"/>
      <w:sz w:val="22"/>
    </w:rPr>
  </w:style>
  <w:style w:type="character" w:customStyle="1" w:styleId="CommentTok">
    <w:name w:val="CommentTok"/>
    <w:basedOn w:val="VerbatimChar"/>
    <w:rPr>
      <w:rFonts w:ascii="Times New Roman" w:hAnsi="Times New Roman"/>
      <w:i/>
      <w:color w:val="60A0B0"/>
      <w:sz w:val="22"/>
    </w:rPr>
  </w:style>
  <w:style w:type="character" w:customStyle="1" w:styleId="DocumentationTok">
    <w:name w:val="DocumentationTok"/>
    <w:basedOn w:val="VerbatimChar"/>
    <w:rPr>
      <w:rFonts w:ascii="Times New Roman" w:hAnsi="Times New Roman"/>
      <w:i/>
      <w:color w:val="BA2121"/>
      <w:sz w:val="22"/>
    </w:rPr>
  </w:style>
  <w:style w:type="character" w:customStyle="1" w:styleId="AnnotationTok">
    <w:name w:val="AnnotationTok"/>
    <w:basedOn w:val="VerbatimChar"/>
    <w:rPr>
      <w:rFonts w:ascii="Times New Roman" w:hAnsi="Times New Roman"/>
      <w:b/>
      <w:i/>
      <w:color w:val="60A0B0"/>
      <w:sz w:val="22"/>
    </w:rPr>
  </w:style>
  <w:style w:type="character" w:customStyle="1" w:styleId="CommentVarTok">
    <w:name w:val="CommentVarTok"/>
    <w:basedOn w:val="VerbatimChar"/>
    <w:rPr>
      <w:rFonts w:ascii="Times New Roman" w:hAnsi="Times New Roman"/>
      <w:b/>
      <w:i/>
      <w:color w:val="60A0B0"/>
      <w:sz w:val="22"/>
    </w:rPr>
  </w:style>
  <w:style w:type="character" w:customStyle="1" w:styleId="OtherTok">
    <w:name w:val="OtherTok"/>
    <w:basedOn w:val="VerbatimChar"/>
    <w:rPr>
      <w:rFonts w:ascii="Times New Roman" w:hAnsi="Times New Roman"/>
      <w:color w:val="007020"/>
      <w:sz w:val="22"/>
    </w:rPr>
  </w:style>
  <w:style w:type="character" w:customStyle="1" w:styleId="FunctionTok">
    <w:name w:val="FunctionTok"/>
    <w:basedOn w:val="VerbatimChar"/>
    <w:rPr>
      <w:rFonts w:ascii="Times New Roman" w:hAnsi="Times New Roman"/>
      <w:color w:val="06287E"/>
      <w:sz w:val="22"/>
    </w:rPr>
  </w:style>
  <w:style w:type="character" w:customStyle="1" w:styleId="VariableTok">
    <w:name w:val="VariableTok"/>
    <w:basedOn w:val="VerbatimChar"/>
    <w:rPr>
      <w:rFonts w:ascii="Times New Roman" w:hAnsi="Times New Roman"/>
      <w:color w:val="19177C"/>
      <w:sz w:val="22"/>
    </w:rPr>
  </w:style>
  <w:style w:type="character" w:customStyle="1" w:styleId="ControlFlowTok">
    <w:name w:val="ControlFlowTok"/>
    <w:basedOn w:val="VerbatimChar"/>
    <w:rPr>
      <w:rFonts w:ascii="Times New Roman" w:hAnsi="Times New Roman"/>
      <w:b/>
      <w:color w:val="007020"/>
      <w:sz w:val="22"/>
    </w:rPr>
  </w:style>
  <w:style w:type="character" w:customStyle="1" w:styleId="OperatorTok">
    <w:name w:val="OperatorTok"/>
    <w:basedOn w:val="VerbatimChar"/>
    <w:rPr>
      <w:rFonts w:ascii="Times New Roman" w:hAnsi="Times New Roman"/>
      <w:color w:val="666666"/>
      <w:sz w:val="22"/>
    </w:rPr>
  </w:style>
  <w:style w:type="character" w:customStyle="1" w:styleId="BuiltInTok">
    <w:name w:val="BuiltInTok"/>
    <w:basedOn w:val="VerbatimChar"/>
    <w:rPr>
      <w:rFonts w:ascii="Times New Roman" w:hAnsi="Times New Roman"/>
      <w:color w:val="008000"/>
      <w:sz w:val="22"/>
    </w:rPr>
  </w:style>
  <w:style w:type="character" w:customStyle="1" w:styleId="ExtensionTok">
    <w:name w:val="ExtensionTok"/>
    <w:basedOn w:val="VerbatimChar"/>
    <w:rPr>
      <w:rFonts w:ascii="Times New Roman" w:hAnsi="Times New Roman"/>
      <w:sz w:val="22"/>
    </w:rPr>
  </w:style>
  <w:style w:type="character" w:customStyle="1" w:styleId="PreprocessorTok">
    <w:name w:val="PreprocessorTok"/>
    <w:basedOn w:val="VerbatimChar"/>
    <w:rPr>
      <w:rFonts w:ascii="Times New Roman" w:hAnsi="Times New Roman"/>
      <w:color w:val="BC7A00"/>
      <w:sz w:val="22"/>
    </w:rPr>
  </w:style>
  <w:style w:type="character" w:customStyle="1" w:styleId="AttributeTok">
    <w:name w:val="AttributeTok"/>
    <w:basedOn w:val="VerbatimChar"/>
    <w:rPr>
      <w:rFonts w:ascii="Times New Roman" w:hAnsi="Times New Roman"/>
      <w:color w:val="7D9029"/>
      <w:sz w:val="22"/>
    </w:rPr>
  </w:style>
  <w:style w:type="character" w:customStyle="1" w:styleId="RegionMarkerTok">
    <w:name w:val="RegionMarkerTok"/>
    <w:basedOn w:val="VerbatimChar"/>
    <w:rPr>
      <w:rFonts w:ascii="Times New Roman" w:hAnsi="Times New Roman"/>
      <w:sz w:val="22"/>
    </w:rPr>
  </w:style>
  <w:style w:type="character" w:customStyle="1" w:styleId="InformationTok">
    <w:name w:val="InformationTok"/>
    <w:basedOn w:val="VerbatimChar"/>
    <w:rPr>
      <w:rFonts w:ascii="Times New Roman" w:hAnsi="Times New Roman"/>
      <w:b/>
      <w:i/>
      <w:color w:val="60A0B0"/>
      <w:sz w:val="22"/>
    </w:rPr>
  </w:style>
  <w:style w:type="character" w:customStyle="1" w:styleId="WarningTok">
    <w:name w:val="WarningTok"/>
    <w:basedOn w:val="VerbatimChar"/>
    <w:rPr>
      <w:rFonts w:ascii="Times New Roman" w:hAnsi="Times New Roman"/>
      <w:b/>
      <w:i/>
      <w:color w:val="60A0B0"/>
      <w:sz w:val="22"/>
    </w:rPr>
  </w:style>
  <w:style w:type="character" w:customStyle="1" w:styleId="AlertTok">
    <w:name w:val="AlertTok"/>
    <w:basedOn w:val="VerbatimChar"/>
    <w:rPr>
      <w:rFonts w:ascii="Times New Roman" w:hAnsi="Times New Roman"/>
      <w:b/>
      <w:color w:val="FF0000"/>
      <w:sz w:val="22"/>
    </w:rPr>
  </w:style>
  <w:style w:type="character" w:customStyle="1" w:styleId="ErrorTok">
    <w:name w:val="ErrorTok"/>
    <w:basedOn w:val="VerbatimChar"/>
    <w:rPr>
      <w:rFonts w:ascii="Times New Roman" w:hAnsi="Times New Roman"/>
      <w:b/>
      <w:color w:val="FF0000"/>
      <w:sz w:val="22"/>
    </w:rPr>
  </w:style>
  <w:style w:type="character" w:customStyle="1" w:styleId="NormalTok">
    <w:name w:val="NormalTok"/>
    <w:basedOn w:val="VerbatimChar"/>
    <w:rPr>
      <w:rFonts w:ascii="Times New Roman" w:hAnsi="Times New Roman"/>
      <w:sz w:val="22"/>
    </w:rPr>
  </w:style>
  <w:style w:type="character" w:styleId="Strong">
    <w:name w:val="Strong"/>
    <w:basedOn w:val="DefaultParagraphFont"/>
    <w:uiPriority w:val="22"/>
    <w:qFormat/>
    <w:rsid w:val="00E269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1113</Words>
  <Characters>6346</Characters>
  <Application>Microsoft Office Word</Application>
  <DocSecurity>0</DocSecurity>
  <Lines>52</Lines>
  <Paragraphs>14</Paragraphs>
  <ScaleCrop>false</ScaleCrop>
  <Company/>
  <LinksUpToDate>false</LinksUpToDate>
  <CharactersWithSpaces>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Daashinkhuu Gansuld</cp:lastModifiedBy>
  <cp:revision>9</cp:revision>
  <dcterms:created xsi:type="dcterms:W3CDTF">2026-08-19T12:21:00Z</dcterms:created>
  <dcterms:modified xsi:type="dcterms:W3CDTF">2026-08-19T13:01:00Z</dcterms:modified>
</cp:coreProperties>
</file>