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65A6" w14:textId="77777777" w:rsidR="0036165F" w:rsidRDefault="00000000">
      <w:pPr>
        <w:pStyle w:val="Heading1"/>
      </w:pPr>
      <w:bookmarkStart w:id="0" w:name="хөдөлмөрийн-зах-зээл"/>
      <w:r>
        <w:t>2.3 Хөдөлмөрийн зах зээл</w:t>
      </w:r>
    </w:p>
    <w:p w14:paraId="7D9065F8" w14:textId="1F45BBDB" w:rsidR="0036165F" w:rsidRDefault="00000000">
      <w:pPr>
        <w:pStyle w:val="FirstParagraph"/>
      </w:pPr>
      <w:r>
        <w:t>Хөдөлмөрийн зах зээлийг хоёр төрлийн агент зохион байгуулна. Үүнд өрхийн ялгаварласан хөдөлмөрийг нэгтгэдэг хөдөлмөр багцлагч, гишүүдийнхээ өмнөөс нэрлэсэн цалин тогтоодог үйлдвэрчний эвлэл. Энэхүү бүтэц цалингийн зууралтыг загварт нэвтрүүлэх бөгөөд эх загварынхтай бүрэн ижил байна.</w:t>
      </w:r>
    </w:p>
    <w:p w14:paraId="27A4E50A" w14:textId="77777777" w:rsidR="0036165F" w:rsidRDefault="00000000">
      <w:pPr>
        <w:pStyle w:val="Heading2"/>
      </w:pPr>
      <w:bookmarkStart w:id="1" w:name="хөдөлмөр-багцлагч"/>
      <w:r>
        <w:t>2.3.1 Хөдөлмөр багцлагч</w:t>
      </w:r>
    </w:p>
    <w:p w14:paraId="7BF3738A" w14:textId="731832D7" w:rsidR="0036165F" w:rsidRDefault="00000000">
      <w:pPr>
        <w:pStyle w:val="FirstParagraph"/>
      </w:pPr>
      <w:r>
        <w:t xml:space="preserve">Төгс өрсөлдөөнт хөдөлмөр багцлагч нь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төрөл тус бүрд ажиллаж, </w:t>
      </w: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индексээр ялгагдах хөдөлмөрийн үйлчилгээг эвлэлүүдээс худалдан авна. Тэрээр эдгээрийг тогтмол орлуулалтын </w:t>
      </w:r>
      <w:r w:rsidR="00174D82">
        <w:rPr>
          <w:lang w:val="mn-MN"/>
        </w:rPr>
        <w:t>мэдрэмжтэй</w:t>
      </w:r>
      <w:r>
        <w:t xml:space="preserve"> нийлмэл хөдөлмөрийн оролт болгон нэгтгээд аж ахуй эрхлэгчид нийлүүлнэ. Нийт цалингийн зардал өгөгдсөн үед багцлагчийн шийдвэрээс хөдөлмөрийн төрөл тус бүрийн эрэлт урган гарна.</w:t>
      </w:r>
    </w:p>
    <w:p w14:paraId="45A47D34" w14:textId="77777777" w:rsidR="0036165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m</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m</m:t>
                          </m:r>
                        </m:e>
                      </m:d>
                    </m:num>
                    <m:den>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den>
                  </m:f>
                </m:e>
              </m:d>
            </m:e>
            <m: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sup>
          </m:s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oMath>
      </m:oMathPara>
    </w:p>
    <w:p w14:paraId="52640856" w14:textId="77777777" w:rsidR="0036165F" w:rsidRDefault="00000000">
      <w:pPr>
        <w:pStyle w:val="FirstParagraph"/>
      </w:pPr>
      <w:r>
        <w:t>(2.23)</w:t>
      </w:r>
    </w:p>
    <w:p w14:paraId="62A099EA" w14:textId="333945FB" w:rsidR="0036165F" w:rsidRDefault="00000000">
      <w:pPr>
        <w:pStyle w:val="BodyText"/>
      </w:pPr>
      <w:r>
        <w:t xml:space="preserve">Энд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oMath>
      <w:r>
        <w:t xml:space="preserve"> хөдөлмөрийн төрлүүдийн хоорондын орлуулалтын эластик бөгөөд стохастик процесс дагана. Нэрлэсэн цалингийн индекс дараах хэлбэртэй тодорхойлогдоно.</w:t>
      </w:r>
    </w:p>
    <w:p w14:paraId="463D9B92" w14:textId="77777777" w:rsidR="0036165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e>
                  </m:nary>
                  <m:sSup>
                    <m:sSupPr>
                      <m:ctrlPr>
                        <w:rPr>
                          <w:rFonts w:ascii="Cambria Math" w:hAnsi="Cambria Math"/>
                        </w:rPr>
                      </m:ctrlPr>
                    </m:sSupPr>
                    <m:e>
                      <m:d>
                        <m:dPr>
                          <m:ctrlPr>
                            <w:rPr>
                              <w:rFonts w:ascii="Cambria Math" w:hAnsi="Cambria Math"/>
                            </w:rPr>
                          </m:ctrlPr>
                        </m:dPr>
                        <m:e>
                          <m:r>
                            <w:rPr>
                              <w:rFonts w:ascii="Cambria Math" w:hAnsi="Cambria Math"/>
                            </w:rPr>
                            <m:t>m</m:t>
                          </m:r>
                        </m:e>
                      </m:d>
                    </m:e>
                    <m:sup>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sup>
                  </m:sSup>
                  <m:r>
                    <w:rPr>
                      <w:rFonts w:ascii="Cambria Math" w:hAnsi="Cambria Math"/>
                    </w:rPr>
                    <m:t>dm</m:t>
                  </m:r>
                </m:e>
              </m:d>
            </m:e>
            <m:sup>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den>
              </m:f>
            </m:sup>
          </m:sSup>
        </m:oMath>
      </m:oMathPara>
    </w:p>
    <w:p w14:paraId="448609A7" w14:textId="77777777" w:rsidR="0036165F" w:rsidRDefault="00000000">
      <w:pPr>
        <w:pStyle w:val="FirstParagraph"/>
      </w:pPr>
      <w:r>
        <w:t>(2.24)</w:t>
      </w:r>
    </w:p>
    <w:p w14:paraId="652D2ECC" w14:textId="429445ED" w:rsidR="0036165F" w:rsidRDefault="00174D82">
      <w:pPr>
        <w:pStyle w:val="BodyText"/>
      </w:pPr>
      <w:r>
        <w:t xml:space="preserve">(2.23) </w:t>
      </w:r>
      <w:r>
        <w:t>тэгшитгэлээр илэрхийлэгдэх э</w:t>
      </w:r>
      <w:r w:rsidR="00000000">
        <w:t xml:space="preserve">рэлтийн муруй </w:t>
      </w:r>
      <w:r>
        <w:t>сөрөг налалттай</w:t>
      </w:r>
      <w:r w:rsidR="00000000">
        <w:t xml:space="preserve"> тул эвлэл цалингаа нэмэгдүүлэхэд гишүүдийнхээ ажлын цаг буурах бөгөөд энэ нь цалин тогтоолтын гол хязгаарлалт болно.</w:t>
      </w:r>
    </w:p>
    <w:p w14:paraId="11692DDD" w14:textId="77777777" w:rsidR="0036165F" w:rsidRDefault="00000000">
      <w:pPr>
        <w:pStyle w:val="Heading2"/>
      </w:pPr>
      <w:bookmarkStart w:id="2" w:name="үйлдвэрчний-эвлэл"/>
      <w:bookmarkEnd w:id="1"/>
      <w:r>
        <w:t>2.3.2 Үйлдвэрчний эвлэл</w:t>
      </w:r>
    </w:p>
    <w:p w14:paraId="0B114464" w14:textId="77777777" w:rsidR="0036165F" w:rsidRDefault="00000000">
      <w:pPr>
        <w:pStyle w:val="FirstParagraph"/>
      </w:pPr>
      <w:r>
        <w:t xml:space="preserve">Ажилчид өөрсдийн бага зэрэг ялгаатай хөдөлмөрөө эвлэлээр дамжуулан борлуулна. Хөдөлмөрийн төрөл </w:t>
      </w:r>
      <m:oMath>
        <m:r>
          <w:rPr>
            <w:rFonts w:ascii="Cambria Math" w:hAnsi="Cambria Math"/>
          </w:rPr>
          <m:t>m</m:t>
        </m:r>
      </m:oMath>
      <w:r>
        <w:t xml:space="preserve"> тус бүрд хоёр эвлэл байх бөгөөд нэг нь тэвчээртэй, нөгөө нь тэвчээргүй өрхийг төлөөлнө. Эвлэл бүр гишүүдийнхээ ханамжийг максимумчлах зорилгоор нэрлэсэн цалин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m</m:t>
            </m:r>
          </m:e>
        </m:d>
      </m:oMath>
      <w:r>
        <w:t xml:space="preserve">-г тогтооно. Цалингаа өөрчлөхөд эвлэл </w:t>
      </w:r>
      <m:oMath>
        <m:sSub>
          <m:sSubPr>
            <m:ctrlPr>
              <w:rPr>
                <w:rFonts w:ascii="Cambria Math" w:hAnsi="Cambria Math"/>
              </w:rPr>
            </m:ctrlPr>
          </m:sSubPr>
          <m:e>
            <m:r>
              <w:rPr>
                <w:rFonts w:ascii="Cambria Math" w:hAnsi="Cambria Math"/>
              </w:rPr>
              <m:t>κ</m:t>
            </m:r>
          </m:e>
          <m:sub>
            <m:r>
              <w:rPr>
                <w:rFonts w:ascii="Cambria Math" w:hAnsi="Cambria Math"/>
              </w:rPr>
              <m:t>w</m:t>
            </m:r>
          </m:sub>
        </m:sSub>
      </m:oMath>
      <w:r>
        <w:t xml:space="preserve"> параметрээр тодорхойлогдох квадрат зохицуулалтын зардал төлөх ба уг зардал нь өмнөх үеийн болон тогтвортой төлөвийн инфляцын жигнэсэн дунджид индексжсэн хэсгээс давсан өөрчлөлтөд ногдоно (харьцангуй жинг </w:t>
      </w:r>
      <m:oMath>
        <m:sSub>
          <m:sSubPr>
            <m:ctrlPr>
              <w:rPr>
                <w:rFonts w:ascii="Cambria Math" w:hAnsi="Cambria Math"/>
              </w:rPr>
            </m:ctrlPr>
          </m:sSubPr>
          <m:e>
            <m:r>
              <w:rPr>
                <w:rFonts w:ascii="Cambria Math" w:hAnsi="Cambria Math"/>
              </w:rPr>
              <m:t>ι</m:t>
            </m:r>
          </m:e>
          <m:sub>
            <m:r>
              <w:rPr>
                <w:rFonts w:ascii="Cambria Math" w:hAnsi="Cambria Math"/>
              </w:rPr>
              <m:t>w</m:t>
            </m:r>
          </m:sub>
        </m:sSub>
      </m:oMath>
      <w:r>
        <w:t xml:space="preserve"> тодорхойлно). Зохицуулалтын зардлыг нөхөх төлбөрийг эвлэл гишүүдээсээ нэгдсэн байдлаар хураана. Ийнхүү эвлэлийн асуудал нь эрэлтийн нөхцөл (2.23)-д захирагдан дараах зорилгын функцийг максимумчлах явдал болно.</w:t>
      </w:r>
    </w:p>
    <w:p w14:paraId="30796049" w14:textId="77777777" w:rsidR="0036165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s</m:t>
                  </m:r>
                </m:sub>
                <m:sup>
                  <m:r>
                    <w:rPr>
                      <w:rFonts w:ascii="Cambria Math" w:hAnsi="Cambria Math"/>
                    </w:rPr>
                    <m:t> t</m:t>
                  </m:r>
                </m:sup>
              </m:sSubSup>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e>
                  </m:d>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m</m:t>
                          </m:r>
                        </m:e>
                      </m:d>
                    </m:num>
                    <m:den>
                      <m:sSub>
                        <m:sSubPr>
                          <m:ctrlPr>
                            <w:rPr>
                              <w:rFonts w:ascii="Cambria Math" w:hAnsi="Cambria Math"/>
                            </w:rPr>
                          </m:ctrlPr>
                        </m:sSubPr>
                        <m:e>
                          <m:r>
                            <w:rPr>
                              <w:rFonts w:ascii="Cambria Math" w:hAnsi="Cambria Math"/>
                            </w:rPr>
                            <m:t>P</m:t>
                          </m:r>
                        </m:e>
                        <m:sub>
                          <m:r>
                            <w:rPr>
                              <w:rFonts w:ascii="Cambria Math" w:hAnsi="Cambria Math"/>
                            </w:rPr>
                            <m:t>t</m:t>
                          </m:r>
                        </m:sub>
                      </m:sSub>
                    </m:den>
                  </m:f>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w</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d>
                                <m:dPr>
                                  <m:ctrlPr>
                                    <w:rPr>
                                      <w:rFonts w:ascii="Cambria Math" w:hAnsi="Cambria Math"/>
                                    </w:rPr>
                                  </m:ctrlPr>
                                </m:dPr>
                                <m:e>
                                  <m:r>
                                    <w:rPr>
                                      <w:rFonts w:ascii="Cambria Math" w:hAnsi="Cambria Math"/>
                                    </w:rPr>
                                    <m:t>m</m:t>
                                  </m:r>
                                </m:e>
                              </m:d>
                            </m:num>
                            <m:den>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sSubSup>
                              <m:d>
                                <m:dPr>
                                  <m:ctrlPr>
                                    <w:rPr>
                                      <w:rFonts w:ascii="Cambria Math" w:hAnsi="Cambria Math"/>
                                    </w:rPr>
                                  </m:ctrlPr>
                                </m:dPr>
                                <m:e>
                                  <m:r>
                                    <w:rPr>
                                      <w:rFonts w:ascii="Cambria Math" w:hAnsi="Cambria Math"/>
                                    </w:rPr>
                                    <m:t>m</m:t>
                                  </m:r>
                                </m:e>
                              </m:d>
                            </m:den>
                          </m:f>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ι</m:t>
                                  </m:r>
                                </m:e>
                                <m:sub>
                                  <m:r>
                                    <w:rPr>
                                      <w:rFonts w:ascii="Cambria Math" w:hAnsi="Cambria Math"/>
                                    </w:rPr>
                                    <m:t>w</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w</m:t>
                                  </m:r>
                                </m:sub>
                              </m:sSub>
                            </m:sup>
                          </m:sSup>
                        </m:e>
                      </m:d>
                    </m:e>
                    <m:sup>
                      <m:r>
                        <w:rPr>
                          <w:rFonts w:ascii="Cambria Math" w:hAnsi="Cambria Math"/>
                        </w:rPr>
                        <m:t>2</m:t>
                      </m:r>
                    </m:sup>
                  </m:sSup>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e>
                      </m:d>
                    </m:e>
                    <m:sup>
                      <m:r>
                        <w:rPr>
                          <w:rFonts w:ascii="Cambria Math" w:hAnsi="Cambria Math"/>
                        </w:rPr>
                        <m:t>1</m:t>
                      </m:r>
                      <m:r>
                        <m:rPr>
                          <m:sty m:val="p"/>
                        </m:rPr>
                        <w:rPr>
                          <w:rFonts w:ascii="Cambria Math" w:hAnsi="Cambria Math"/>
                        </w:rPr>
                        <m:t>+</m:t>
                      </m:r>
                      <m:r>
                        <w:rPr>
                          <w:rFonts w:ascii="Cambria Math" w:hAnsi="Cambria Math"/>
                        </w:rPr>
                        <m:t>ϕ</m:t>
                      </m:r>
                    </m:sup>
                  </m:sSup>
                </m:num>
                <m:den>
                  <m:r>
                    <w:rPr>
                      <w:rFonts w:ascii="Cambria Math" w:hAnsi="Cambria Math"/>
                    </w:rPr>
                    <m:t>1</m:t>
                  </m:r>
                  <m:r>
                    <m:rPr>
                      <m:sty m:val="p"/>
                    </m:rPr>
                    <w:rPr>
                      <w:rFonts w:ascii="Cambria Math" w:hAnsi="Cambria Math"/>
                    </w:rPr>
                    <m:t>+</m:t>
                  </m:r>
                  <m:r>
                    <w:rPr>
                      <w:rFonts w:ascii="Cambria Math" w:hAnsi="Cambria Math"/>
                    </w:rPr>
                    <m:t>ϕ</m:t>
                  </m:r>
                </m:den>
              </m:f>
            </m:e>
          </m:d>
        </m:oMath>
      </m:oMathPara>
    </w:p>
    <w:p w14:paraId="3B6F8D96" w14:textId="77777777" w:rsidR="0036165F" w:rsidRDefault="00000000">
      <w:pPr>
        <w:pStyle w:val="FirstParagraph"/>
      </w:pPr>
      <w:r>
        <w:t>(2.25)</w:t>
      </w:r>
    </w:p>
    <w:p w14:paraId="41978EC1" w14:textId="04C4E2F8" w:rsidR="0036165F" w:rsidRDefault="00000000">
      <w:pPr>
        <w:pStyle w:val="BodyText"/>
      </w:pPr>
      <w:r>
        <w:t xml:space="preserve">Энд </w:t>
      </w:r>
      <m:oMath>
        <m:sSub>
          <m:sSubPr>
            <m:ctrlPr>
              <w:rPr>
                <w:rFonts w:ascii="Cambria Math" w:hAnsi="Cambria Math"/>
              </w:rPr>
            </m:ctrlPr>
          </m:sSubPr>
          <m:e>
            <m:r>
              <w:rPr>
                <w:rFonts w:ascii="Cambria Math" w:hAnsi="Cambria Math"/>
              </w:rPr>
              <m:t>U</m:t>
            </m:r>
          </m:e>
          <m:sub>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s</m:t>
                </m:r>
              </m:sup>
            </m:sSubSup>
          </m:sub>
        </m:sSub>
      </m:oMath>
      <w:r>
        <w:t xml:space="preserve"> тухайн төрлийн өрхийн хэрэглээний ахиуц ханамж бөгөөд түүгээр цалингийн орлогыг ханамжийн нэгжид хөрвүүлнэ. Симметр тэнцвэрт нэгдүгээр эрэмбийн нөхцөл нь цалингийн шугаман бус Филлипсийн муруй болно.</w:t>
      </w:r>
    </w:p>
    <w:p w14:paraId="6E4C6517" w14:textId="77777777" w:rsidR="0036165F" w:rsidRDefault="00000000">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sSup>
                    <m:sSupPr>
                      <m:ctrlPr>
                        <w:rPr>
                          <w:rFonts w:ascii="Cambria Math" w:hAnsi="Cambria Math"/>
                        </w:rPr>
                      </m:ctrlPr>
                    </m:sSupPr>
                    <m:e>
                      <m:r>
                        <w:rPr>
                          <w:rFonts w:ascii="Cambria Math" w:hAnsi="Cambria Math"/>
                        </w:rPr>
                        <m:t>w</m:t>
                      </m:r>
                    </m:e>
                    <m:sup>
                      <m:r>
                        <w:rPr>
                          <w:rFonts w:ascii="Cambria Math" w:hAnsi="Cambria Math"/>
                        </w:rPr>
                        <m:t>s</m:t>
                      </m:r>
                    </m:sup>
                  </m:sSup>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ι</m:t>
                      </m:r>
                    </m:e>
                    <m:sub>
                      <m:r>
                        <w:rPr>
                          <w:rFonts w:ascii="Cambria Math" w:hAnsi="Cambria Math"/>
                        </w:rPr>
                        <m:t>w</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w</m:t>
                      </m:r>
                    </m:sub>
                  </m:sSub>
                </m:sup>
              </m:sSup>
            </m:e>
          </m:d>
          <m:sSubSup>
            <m:sSubSupPr>
              <m:ctrlPr>
                <w:rPr>
                  <w:rFonts w:ascii="Cambria Math" w:hAnsi="Cambria Math"/>
                </w:rPr>
              </m:ctrlPr>
            </m:sSubSupPr>
            <m:e>
              <m:r>
                <w:rPr>
                  <w:rFonts w:ascii="Cambria Math" w:hAnsi="Cambria Math"/>
                </w:rPr>
                <m:t>π</m:t>
              </m:r>
            </m:e>
            <m:sub>
              <m:r>
                <w:rPr>
                  <w:rFonts w:ascii="Cambria Math" w:hAnsi="Cambria Math"/>
                </w:rPr>
                <m:t>t</m:t>
              </m:r>
            </m:sub>
            <m:sup>
              <m:sSup>
                <m:sSupPr>
                  <m:ctrlPr>
                    <w:rPr>
                      <w:rFonts w:ascii="Cambria Math" w:hAnsi="Cambria Math"/>
                    </w:rPr>
                  </m:ctrlPr>
                </m:sSupPr>
                <m:e>
                  <m:r>
                    <w:rPr>
                      <w:rFonts w:ascii="Cambria Math" w:hAnsi="Cambria Math"/>
                    </w:rPr>
                    <m:t>w</m:t>
                  </m:r>
                </m:e>
                <m:sup>
                  <m:r>
                    <w:rPr>
                      <w:rFonts w:ascii="Cambria Math" w:hAnsi="Cambria Math"/>
                    </w:rPr>
                    <m:t>s</m:t>
                  </m:r>
                </m:sup>
              </m:sSup>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s</m:t>
                      </m:r>
                    </m:sup>
                  </m:sSubSup>
                </m:den>
              </m:f>
              <m:sSub>
                <m:sSubPr>
                  <m:ctrlPr>
                    <w:rPr>
                      <w:rFonts w:ascii="Cambria Math" w:hAnsi="Cambria Math"/>
                    </w:rPr>
                  </m:ctrlPr>
                </m:sSubPr>
                <m:e>
                  <m:r>
                    <w:rPr>
                      <w:rFonts w:ascii="Cambria Math" w:hAnsi="Cambria Math"/>
                    </w:rPr>
                    <m:t>κ</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w</m:t>
                          </m:r>
                        </m:e>
                        <m:sup>
                          <m:r>
                            <w:rPr>
                              <w:rFonts w:ascii="Cambria Math" w:hAnsi="Cambria Math"/>
                            </w:rPr>
                            <m:t>s</m:t>
                          </m:r>
                        </m:sup>
                      </m:sSup>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sub>
                    <m:sup>
                      <m:sSub>
                        <m:sSubPr>
                          <m:ctrlPr>
                            <w:rPr>
                              <w:rFonts w:ascii="Cambria Math" w:hAnsi="Cambria Math"/>
                            </w:rPr>
                          </m:ctrlPr>
                        </m:sSubPr>
                        <m:e>
                          <m:r>
                            <w:rPr>
                              <w:rFonts w:ascii="Cambria Math" w:hAnsi="Cambria Math"/>
                            </w:rPr>
                            <m:t>ι</m:t>
                          </m:r>
                        </m:e>
                        <m:sub>
                          <m:r>
                            <w:rPr>
                              <w:rFonts w:ascii="Cambria Math" w:hAnsi="Cambria Math"/>
                            </w:rPr>
                            <m:t>w</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w</m:t>
                          </m:r>
                        </m:sub>
                      </m:sSub>
                    </m:sup>
                  </m:sSup>
                </m:e>
              </m:d>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w</m:t>
                                  </m:r>
                                </m:e>
                                <m:sup>
                                  <m:r>
                                    <w:rPr>
                                      <w:rFonts w:ascii="Cambria Math" w:hAnsi="Cambria Math"/>
                                    </w:rPr>
                                    <m:t>s</m:t>
                                  </m:r>
                                </m:sup>
                              </m:sSup>
                            </m:sup>
                          </m:sSubSup>
                        </m:e>
                      </m:d>
                    </m:e>
                    <m:sup>
                      <m:r>
                        <w:rPr>
                          <w:rFonts w:ascii="Cambria Math" w:hAnsi="Cambria Math"/>
                        </w:rPr>
                        <m:t>2</m:t>
                      </m:r>
                    </m:sup>
                  </m:sSup>
                </m:num>
                <m:den>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e>
          </m:d>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e>
                  </m:d>
                </m:e>
                <m:sup>
                  <m:r>
                    <w:rPr>
                      <w:rFonts w:ascii="Cambria Math" w:hAnsi="Cambria Math"/>
                    </w:rPr>
                    <m:t>1</m:t>
                  </m:r>
                  <m:r>
                    <m:rPr>
                      <m:sty m:val="p"/>
                    </m:rPr>
                    <w:rPr>
                      <w:rFonts w:ascii="Cambria Math" w:hAnsi="Cambria Math"/>
                    </w:rPr>
                    <m:t>+</m:t>
                  </m:r>
                  <m:r>
                    <w:rPr>
                      <w:rFonts w:ascii="Cambria Math" w:hAnsi="Cambria Math"/>
                    </w:rPr>
                    <m:t>ϕ</m:t>
                  </m:r>
                </m:sup>
              </m:sSup>
            </m:num>
            <m:den>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s</m:t>
                  </m:r>
                </m:sup>
              </m:sSubSup>
            </m:den>
          </m:f>
        </m:oMath>
      </m:oMathPara>
    </w:p>
    <w:p w14:paraId="03CF218A" w14:textId="77777777" w:rsidR="0036165F" w:rsidRDefault="00000000">
      <w:pPr>
        <w:pStyle w:val="FirstParagraph"/>
      </w:pPr>
      <w:r>
        <w:t>(2.26)</w:t>
      </w:r>
    </w:p>
    <w:p w14:paraId="3C465A1D" w14:textId="77777777" w:rsidR="0036165F" w:rsidRDefault="00000000">
      <w:pPr>
        <w:pStyle w:val="BodyText"/>
      </w:pPr>
      <w:r>
        <w:t xml:space="preserve">Энд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oMath>
      <w:r>
        <w:t xml:space="preserve"> нь бодит цалин, харин нэрлэсэн цалингийн инфляц нь дараах байдлаар тодорхойлогдоно.</w:t>
      </w:r>
    </w:p>
    <w:p w14:paraId="71FBE01A" w14:textId="77777777" w:rsidR="0036165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sub>
            <m:sup>
              <m:sSup>
                <m:sSupPr>
                  <m:ctrlPr>
                    <w:rPr>
                      <w:rFonts w:ascii="Cambria Math" w:hAnsi="Cambria Math"/>
                    </w:rPr>
                  </m:ctrlPr>
                </m:sSupPr>
                <m:e>
                  <m:r>
                    <w:rPr>
                      <w:rFonts w:ascii="Cambria Math" w:hAnsi="Cambria Math"/>
                    </w:rPr>
                    <m:t>w</m:t>
                  </m:r>
                </m:e>
                <m:sup>
                  <m:r>
                    <w:rPr>
                      <w:rFonts w:ascii="Cambria Math" w:hAnsi="Cambria Math"/>
                    </w:rPr>
                    <m:t>s</m:t>
                  </m:r>
                </m:sup>
              </m:sSup>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s</m:t>
                  </m:r>
                </m:sup>
              </m:sSubSup>
            </m:num>
            <m:den>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sSubSup>
            </m:den>
          </m:f>
          <m:sSub>
            <m:sSubPr>
              <m:ctrlPr>
                <w:rPr>
                  <w:rFonts w:ascii="Cambria Math" w:hAnsi="Cambria Math"/>
                </w:rPr>
              </m:ctrlPr>
            </m:sSubPr>
            <m:e>
              <m:r>
                <w:rPr>
                  <w:rFonts w:ascii="Cambria Math" w:hAnsi="Cambria Math"/>
                </w:rPr>
                <m:t>π</m:t>
              </m:r>
            </m:e>
            <m:sub>
              <m:r>
                <w:rPr>
                  <w:rFonts w:ascii="Cambria Math" w:hAnsi="Cambria Math"/>
                </w:rPr>
                <m:t>t</m:t>
              </m:r>
            </m:sub>
          </m:sSub>
        </m:oMath>
      </m:oMathPara>
    </w:p>
    <w:p w14:paraId="66D12FEB" w14:textId="77777777" w:rsidR="0036165F" w:rsidRDefault="00000000">
      <w:pPr>
        <w:pStyle w:val="FirstParagraph"/>
      </w:pPr>
      <w:r>
        <w:t>(2.27)</w:t>
      </w:r>
    </w:p>
    <w:p w14:paraId="0228288F" w14:textId="26E73BFF" w:rsidR="0036165F" w:rsidRDefault="00000000">
      <w:pPr>
        <w:pStyle w:val="BodyText"/>
      </w:pPr>
      <w:r>
        <w:t>Уг нөхцөл (2.26) нь цалингийн одоогийн өсөлтийг хүлээгдэж буй өсөлт болон хөдөлмөрийн зах зээлийн нөхцөлтэй холбоно. Баруун гар талын сүүлийн хоёр гишүүн эвлэлийн монопольт эрх мэдлээс үүдэлтэй бөгөөд тэдгээрийн харьцаа цалингийн нэмэгдүүлэлтийг тодорхойлно</w:t>
      </w:r>
      <w:r w:rsidR="00174D82">
        <w:t>.</w:t>
      </w:r>
      <w:r>
        <w:t xml:space="preserve"> </w:t>
      </w:r>
      <w:r w:rsidR="00174D82">
        <w:t>Х</w:t>
      </w:r>
      <w:r>
        <w:t xml:space="preserve">өдөлмөрийн ахиуц хохирол </w:t>
      </w: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s</m:t>
                    </m:r>
                  </m:sup>
                </m:sSubSup>
              </m:e>
            </m:d>
          </m:e>
          <m:sup>
            <m:r>
              <w:rPr>
                <w:rFonts w:ascii="Cambria Math" w:hAnsi="Cambria Math"/>
              </w:rPr>
              <m:t>ϕ</m:t>
            </m:r>
          </m:sup>
        </m:sSup>
      </m:oMath>
      <w:r w:rsidR="00174D82">
        <w:t xml:space="preserve"> ба</w:t>
      </w:r>
      <w:r>
        <w:t xml:space="preserve"> бодит цалингийн харьцаа хол зөрөх тусам эвлэл цалингаа өөрчлөх сонирхолтой болно. Зохицуулалтын зардал байхгүй (</w:t>
      </w:r>
      <m:oMath>
        <m:sSub>
          <m:sSubPr>
            <m:ctrlPr>
              <w:rPr>
                <w:rFonts w:ascii="Cambria Math" w:hAnsi="Cambria Math"/>
              </w:rPr>
            </m:ctrlPr>
          </m:sSubPr>
          <m:e>
            <m:r>
              <w:rPr>
                <w:rFonts w:ascii="Cambria Math" w:hAnsi="Cambria Math"/>
              </w:rPr>
              <m:t>κ</m:t>
            </m:r>
          </m:e>
          <m:sub>
            <m:r>
              <w:rPr>
                <w:rFonts w:ascii="Cambria Math" w:hAnsi="Cambria Math"/>
              </w:rPr>
              <m:t>w</m:t>
            </m:r>
          </m:sub>
        </m:sSub>
        <m:r>
          <m:rPr>
            <m:sty m:val="p"/>
          </m:rPr>
          <w:rPr>
            <w:rFonts w:ascii="Cambria Math" w:hAnsi="Cambria Math"/>
          </w:rPr>
          <m:t>=</m:t>
        </m:r>
        <m:r>
          <w:rPr>
            <w:rFonts w:ascii="Cambria Math" w:hAnsi="Cambria Math"/>
          </w:rPr>
          <m:t>0</m:t>
        </m:r>
      </m:oMath>
      <w:r>
        <w:t>) тохиолдолд уг нөхцөл бодит цалинг ахиуц хохирол дээр тогтмол нэмэгдүүлэлт хийсэн уян хэлбэрт шилжинэ. Эвлэл хоёр төрлийн өрхөд тус тусад нь ажилладаг тул цалингийн зууралт тэвчээртэй, тэвчээргүй өрхийн хувьд ижил параметртэй боловч тэдгээрийн хямдруулалтын хүчин зүйл, ахиуц ханамжаас хамаарч өөр өөр динамик үүсгэнэ.</w:t>
      </w:r>
      <w:r w:rsidR="00174D82">
        <w:t xml:space="preserve"> </w:t>
      </w:r>
      <w:r w:rsidR="00174D82" w:rsidRPr="00174D82">
        <w:t>Ийнхүү (2.26) нөхцөл 2.1 хэсэгт хойшлуулсан өрхийн хөдөлмөрийн нийлүүлэлтийн шийдвэрийг эцэслэн тодорхойлох бөгөөд зохицуулалтын зардал байхгүй үед хөдөлмөрийн ахиуц хохирлыг бодит цалинтай тэнцүүлэх стандарт нөхцөл болж хувирна.</w:t>
      </w:r>
      <w:bookmarkEnd w:id="0"/>
      <w:bookmarkEnd w:id="2"/>
    </w:p>
    <w:sectPr w:rsidR="003616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6672" w14:textId="77777777" w:rsidR="00496AE6" w:rsidRDefault="00496AE6">
      <w:pPr>
        <w:spacing w:after="0"/>
      </w:pPr>
      <w:r>
        <w:separator/>
      </w:r>
    </w:p>
  </w:endnote>
  <w:endnote w:type="continuationSeparator" w:id="0">
    <w:p w14:paraId="51A38E33" w14:textId="77777777" w:rsidR="00496AE6" w:rsidRDefault="00496A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FCA17" w14:textId="77777777" w:rsidR="00496AE6" w:rsidRDefault="00496AE6">
      <w:r>
        <w:separator/>
      </w:r>
    </w:p>
  </w:footnote>
  <w:footnote w:type="continuationSeparator" w:id="0">
    <w:p w14:paraId="4F593929" w14:textId="77777777" w:rsidR="00496AE6" w:rsidRDefault="00496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1AD6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1870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wtDQxMzIxMrYwtDBT0lEKTi0uzszPAykwrAUAhVfFNywAAAA="/>
  </w:docVars>
  <w:rsids>
    <w:rsidRoot w:val="0036165F"/>
    <w:rsid w:val="00174D82"/>
    <w:rsid w:val="0036165F"/>
    <w:rsid w:val="00496AE6"/>
    <w:rsid w:val="00EF78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7669"/>
  <w15:docId w15:val="{FCCCB178-6D7A-4FA0-A1A8-3CD4F440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2026-08-12T13:20:00Z</dcterms:created>
  <dcterms:modified xsi:type="dcterms:W3CDTF">2026-08-12T16:23:00Z</dcterms:modified>
</cp:coreProperties>
</file>