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D4B2" w14:textId="77777777" w:rsidR="004B5D06" w:rsidRDefault="00000000">
      <w:pPr>
        <w:pStyle w:val="Heading2"/>
      </w:pPr>
      <w:bookmarkStart w:id="0" w:name="X2713600d8425312d74491bd27a7c004da98216e"/>
      <w:r>
        <w:t>2.6 Мөнгөний бодлого, нэгтгэл ба зах зээлийн тэнцвэр</w:t>
      </w:r>
    </w:p>
    <w:p w14:paraId="5E757B4B" w14:textId="72F1DBB2" w:rsidR="004B5D06" w:rsidRDefault="00000000">
      <w:pPr>
        <w:pStyle w:val="FirstParagraph"/>
      </w:pPr>
      <w:r>
        <w:t>Энэ дэд хэсэгт агентуудын шийдвэрийг нэгтгэж, зах зээлийн тэнцвэрийг хаах нөхцөл</w:t>
      </w:r>
      <w:r w:rsidR="007D13CD">
        <w:rPr>
          <w:lang w:val="mn-MN"/>
        </w:rPr>
        <w:t xml:space="preserve">, </w:t>
      </w:r>
      <w:r>
        <w:t>мөнгөний бодлогын дүрмийг авч үзнэ. Эдгээр нөхцөл эх загварынхтай ижил бөгөөд гагцхүү нөөцийн хязгаарлалтад цэвэр экспорт нэмэгдэнэ.</w:t>
      </w:r>
    </w:p>
    <w:p w14:paraId="5C07C2C9" w14:textId="77777777" w:rsidR="004B5D06" w:rsidRDefault="00000000">
      <w:pPr>
        <w:pStyle w:val="BodyText"/>
      </w:pPr>
      <w:r>
        <w:t>Төв банк богино хугацааны нэрлэсэн хүүг Тейлорын дүрмээр тогтооно. Дүрэм нь хүүг өмнөх үеийн утгад жигдрүүлэх бөгөөд инфляц зорилтоосоо, үйлдвэрлэл өмнөх үеийнхээсээ хазайхад хариу үзүүлнэ.</w:t>
      </w:r>
    </w:p>
    <w:p w14:paraId="30C8915B" w14:textId="77777777" w:rsidR="004B5D06" w:rsidRDefault="00000000">
      <w:pPr>
        <w:pStyle w:val="BodyText"/>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r</m:t>
                      </m:r>
                    </m:e>
                  </m:acc>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e>
            <m:sup>
              <m:sSub>
                <m:sSubPr>
                  <m:ctrlPr>
                    <w:rPr>
                      <w:rFonts w:ascii="Cambria Math" w:hAnsi="Cambria Math"/>
                    </w:rPr>
                  </m:ctrlPr>
                </m:sSubPr>
                <m:e>
                  <m:r>
                    <w:rPr>
                      <w:rFonts w:ascii="Cambria Math" w:hAnsi="Cambria Math"/>
                    </w:rPr>
                    <m:t>ρ</m:t>
                  </m:r>
                </m:e>
                <m:sub>
                  <m:r>
                    <w:rPr>
                      <w:rFonts w:ascii="Cambria Math" w:hAnsi="Cambria Math"/>
                    </w:rPr>
                    <m:t>R</m:t>
                  </m:r>
                </m:sub>
              </m:sSub>
            </m:sup>
          </m:sSup>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sub>
                              </m:sSub>
                            </m:num>
                            <m:den>
                              <m:r>
                                <w:rPr>
                                  <w:rFonts w:ascii="Cambria Math" w:hAnsi="Cambria Math"/>
                                </w:rPr>
                                <m:t>π</m:t>
                              </m:r>
                            </m:den>
                          </m:f>
                        </m:e>
                      </m:d>
                    </m:e>
                    <m:sup>
                      <m:sSub>
                        <m:sSubPr>
                          <m:ctrlPr>
                            <w:rPr>
                              <w:rFonts w:ascii="Cambria Math" w:hAnsi="Cambria Math"/>
                            </w:rPr>
                          </m:ctrlPr>
                        </m:sSubPr>
                        <m:e>
                          <m:r>
                            <w:rPr>
                              <w:rFonts w:ascii="Cambria Math" w:hAnsi="Cambria Math"/>
                            </w:rPr>
                            <m:t>ϕ</m:t>
                          </m:r>
                        </m:e>
                        <m:sub>
                          <m:r>
                            <w:rPr>
                              <w:rFonts w:ascii="Cambria Math" w:hAnsi="Cambria Math"/>
                            </w:rPr>
                            <m:t>π</m:t>
                          </m:r>
                        </m:sub>
                      </m:sSub>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den>
                          </m:f>
                        </m:e>
                      </m:d>
                    </m:e>
                    <m:sup>
                      <m:sSub>
                        <m:sSubPr>
                          <m:ctrlPr>
                            <w:rPr>
                              <w:rFonts w:ascii="Cambria Math" w:hAnsi="Cambria Math"/>
                            </w:rPr>
                          </m:ctrlPr>
                        </m:sSubPr>
                        <m:e>
                          <m:r>
                            <w:rPr>
                              <w:rFonts w:ascii="Cambria Math" w:hAnsi="Cambria Math"/>
                            </w:rPr>
                            <m:t>ϕ</m:t>
                          </m:r>
                        </m:e>
                        <m:sub>
                          <m:r>
                            <w:rPr>
                              <w:rFonts w:ascii="Cambria Math" w:hAnsi="Cambria Math"/>
                            </w:rPr>
                            <m:t>y</m:t>
                          </m:r>
                        </m:sub>
                      </m:sSub>
                    </m:sup>
                  </m:sSup>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sup>
          </m:sSup>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r</m:t>
              </m:r>
            </m:sup>
          </m:sSubSup>
        </m:oMath>
      </m:oMathPara>
    </w:p>
    <w:p w14:paraId="197D1EF6" w14:textId="77777777" w:rsidR="004B5D06" w:rsidRDefault="00000000">
      <w:pPr>
        <w:pStyle w:val="FirstParagraph"/>
      </w:pPr>
      <w:r>
        <w:t>(2.52)</w:t>
      </w:r>
    </w:p>
    <w:p w14:paraId="7019811B" w14:textId="44BC9246" w:rsidR="004B5D06" w:rsidRDefault="00000000">
      <w:pPr>
        <w:pStyle w:val="BodyText"/>
      </w:pPr>
      <w:r>
        <w:t xml:space="preserve">Энд </w:t>
      </w:r>
      <m:oMath>
        <m:sSub>
          <m:sSubPr>
            <m:ctrlPr>
              <w:rPr>
                <w:rFonts w:ascii="Cambria Math" w:hAnsi="Cambria Math"/>
              </w:rPr>
            </m:ctrlPr>
          </m:sSubPr>
          <m:e>
            <m:r>
              <w:rPr>
                <w:rFonts w:ascii="Cambria Math" w:hAnsi="Cambria Math"/>
              </w:rPr>
              <m:t>ρ</m:t>
            </m:r>
          </m:e>
          <m:sub>
            <m:r>
              <w:rPr>
                <w:rFonts w:ascii="Cambria Math" w:hAnsi="Cambria Math"/>
              </w:rPr>
              <m:t>R</m:t>
            </m:r>
          </m:sub>
        </m:sSub>
      </m:oMath>
      <w:r>
        <w:t xml:space="preserve"> хүүний жигдрүүлэлтийн зэрэг, </w:t>
      </w:r>
      <m:oMath>
        <m:sSub>
          <m:sSubPr>
            <m:ctrlPr>
              <w:rPr>
                <w:rFonts w:ascii="Cambria Math" w:hAnsi="Cambria Math"/>
              </w:rPr>
            </m:ctrlPr>
          </m:sSubPr>
          <m:e>
            <m:r>
              <w:rPr>
                <w:rFonts w:ascii="Cambria Math" w:hAnsi="Cambria Math"/>
              </w:rPr>
              <m:t>ϕ</m:t>
            </m:r>
          </m:e>
          <m:sub>
            <m:r>
              <w:rPr>
                <w:rFonts w:ascii="Cambria Math" w:hAnsi="Cambria Math"/>
              </w:rPr>
              <m:t>π</m:t>
            </m:r>
          </m:sub>
        </m:sSub>
      </m:oMath>
      <w:r>
        <w:t xml:space="preserve">, </w:t>
      </w:r>
      <m:oMath>
        <m:sSub>
          <m:sSubPr>
            <m:ctrlPr>
              <w:rPr>
                <w:rFonts w:ascii="Cambria Math" w:hAnsi="Cambria Math"/>
              </w:rPr>
            </m:ctrlPr>
          </m:sSubPr>
          <m:e>
            <m:r>
              <w:rPr>
                <w:rFonts w:ascii="Cambria Math" w:hAnsi="Cambria Math"/>
              </w:rPr>
              <m:t>ϕ</m:t>
            </m:r>
          </m:e>
          <m:sub>
            <m:r>
              <w:rPr>
                <w:rFonts w:ascii="Cambria Math" w:hAnsi="Cambria Math"/>
              </w:rPr>
              <m:t>y</m:t>
            </m:r>
          </m:sub>
        </m:sSub>
      </m:oMath>
      <w:r>
        <w:t xml:space="preserve"> инфляц болон үйлдвэрлэлийн өсөлтөд үзүүлэх хариу үйлдлийн коэффициент,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r</m:t>
            </m:r>
          </m:sup>
        </m:sSubSup>
      </m:oMath>
      <w:r>
        <w:t xml:space="preserve"> нь мөнгөний бодлогын шок</w:t>
      </w:r>
      <w:r w:rsidR="007D13CD">
        <w:t>ыг тус тус илэрхийлнэ</w:t>
      </w:r>
      <w:r>
        <w:t>. Дүрэмд үйлдвэрлэлийн түвшин бус өсөлт орох нь эх загварын сонголтыг дагасан болно. Мөнгөний бодлогын шокоос бусад бүх экзоген процесс нэгдүгээр эрэмбийн авторегресс хэлбэртэй байна.</w:t>
      </w:r>
    </w:p>
    <w:p w14:paraId="1D7ADC6D" w14:textId="77777777" w:rsidR="004B5D06"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ε</m:t>
                  </m:r>
                </m:sub>
              </m:sSub>
            </m:e>
          </m:d>
          <m:acc>
            <m:accPr>
              <m:chr m:val="‾"/>
              <m:ctrlPr>
                <w:rPr>
                  <w:rFonts w:ascii="Cambria Math" w:hAnsi="Cambria Math"/>
                </w:rPr>
              </m:ctrlPr>
            </m:accPr>
            <m:e>
              <m:r>
                <w:rPr>
                  <w:rFonts w:ascii="Cambria Math" w:hAnsi="Cambria Math"/>
                </w:rPr>
                <m:t>ε</m:t>
              </m:r>
            </m:e>
          </m:acc>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ε</m:t>
              </m:r>
            </m:sub>
          </m:sSub>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ε</m:t>
              </m:r>
            </m:sup>
          </m:sSubSup>
        </m:oMath>
      </m:oMathPara>
    </w:p>
    <w:p w14:paraId="0D66FF91" w14:textId="77777777" w:rsidR="004B5D06" w:rsidRDefault="00000000">
      <w:pPr>
        <w:pStyle w:val="FirstParagraph"/>
      </w:pPr>
      <w:r>
        <w:t>(2.53)</w:t>
      </w:r>
    </w:p>
    <w:p w14:paraId="43671978" w14:textId="77994829" w:rsidR="004B5D06" w:rsidRDefault="00000000">
      <w:pPr>
        <w:pStyle w:val="BodyText"/>
      </w:pPr>
      <w:r>
        <w:t xml:space="preserve">Энд </w:t>
      </w:r>
      <m:oMath>
        <m:sSub>
          <m:sSubPr>
            <m:ctrlPr>
              <w:rPr>
                <w:rFonts w:ascii="Cambria Math" w:hAnsi="Cambria Math"/>
              </w:rPr>
            </m:ctrlPr>
          </m:sSubPr>
          <m:e>
            <m:r>
              <w:rPr>
                <w:rFonts w:ascii="Cambria Math" w:hAnsi="Cambria Math"/>
              </w:rPr>
              <m:t>ρ</m:t>
            </m:r>
          </m:e>
          <m:sub>
            <m:r>
              <w:rPr>
                <w:rFonts w:ascii="Cambria Math" w:hAnsi="Cambria Math"/>
              </w:rPr>
              <m:t>ε</m:t>
            </m:r>
          </m:sub>
        </m:sSub>
      </m:oMath>
      <w:r>
        <w:t xml:space="preserve"> авторегрессийн коэффициент, </w:t>
      </w:r>
      <m:oMath>
        <m:acc>
          <m:accPr>
            <m:chr m:val="‾"/>
            <m:ctrlPr>
              <w:rPr>
                <w:rFonts w:ascii="Cambria Math" w:hAnsi="Cambria Math"/>
              </w:rPr>
            </m:ctrlPr>
          </m:accPr>
          <m:e>
            <m:r>
              <w:rPr>
                <w:rFonts w:ascii="Cambria Math" w:hAnsi="Cambria Math"/>
              </w:rPr>
              <m:t>ε</m:t>
            </m:r>
          </m:e>
        </m:acc>
      </m:oMath>
      <w:r>
        <w:t xml:space="preserve"> нь тогтвортой төлөвийн утга, </w:t>
      </w:r>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ε</m:t>
            </m:r>
          </m:sup>
        </m:sSubSup>
      </m:oMath>
      <w:r>
        <w:t xml:space="preserve"> нь тэг дундажтай, </w:t>
      </w:r>
      <m:oMath>
        <m:sSub>
          <m:sSubPr>
            <m:ctrlPr>
              <w:rPr>
                <w:rFonts w:ascii="Cambria Math" w:hAnsi="Cambria Math"/>
              </w:rPr>
            </m:ctrlPr>
          </m:sSubPr>
          <m:e>
            <m:r>
              <w:rPr>
                <w:rFonts w:ascii="Cambria Math" w:hAnsi="Cambria Math"/>
              </w:rPr>
              <m:t>σ</m:t>
            </m:r>
          </m:e>
          <m:sub>
            <m:r>
              <w:rPr>
                <w:rFonts w:ascii="Cambria Math" w:hAnsi="Cambria Math"/>
              </w:rPr>
              <m:t>ε</m:t>
            </m:r>
          </m:sub>
        </m:sSub>
      </m:oMath>
      <w:r>
        <w:t xml:space="preserve"> стандарт хазайлттай хэвийн тархалттай санамсаргүй хэмжигдэхүүн юм. Жижиг, нээлттэй эдийн засгийн блокийн гурван шокын процессыг 2.5 хэсэгт тусад нь үзүүлэв.</w:t>
      </w:r>
    </w:p>
    <w:p w14:paraId="6548E87C" w14:textId="77777777" w:rsidR="004B5D06" w:rsidRDefault="00000000">
      <w:pPr>
        <w:pStyle w:val="BodyText"/>
      </w:pPr>
      <w:r>
        <w:t>Нэгтгэлийн нөхцөл нь бие даасан агентуудын шийдвэрийг нийт хэмжигдэхүүнтэй холбоно. Хэрэглээ гурван төрлийн агентын хэрэглээний нийлбэрээр, зээл болон хадгаламж нь банк болон харгалзах агентын эзлэх хувиар жигнэгдэн тодорхойлогдоно.</w:t>
      </w:r>
    </w:p>
    <w:p w14:paraId="390BB95C" w14:textId="77777777" w:rsidR="004B5D06"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E</m:t>
              </m:r>
            </m:sup>
          </m:sSubSup>
        </m:oMath>
      </m:oMathPara>
    </w:p>
    <w:p w14:paraId="11D2CFDF" w14:textId="77777777" w:rsidR="004B5D06" w:rsidRDefault="00000000">
      <w:pPr>
        <w:pStyle w:val="FirstParagraph"/>
      </w:pPr>
      <w:r>
        <w:t>(2.54)</w:t>
      </w:r>
    </w:p>
    <w:p w14:paraId="5F7D627F" w14:textId="77777777" w:rsidR="004B5D0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oMath>
      </m:oMathPara>
    </w:p>
    <w:p w14:paraId="68387CB9" w14:textId="77777777" w:rsidR="004B5D06" w:rsidRDefault="00000000">
      <w:pPr>
        <w:pStyle w:val="FirstParagraph"/>
      </w:pPr>
      <w:r>
        <w:t>(2.55)</w:t>
      </w:r>
    </w:p>
    <w:p w14:paraId="5A15B633" w14:textId="77777777" w:rsidR="004B5D06"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P</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P</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I</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oMath>
      </m:oMathPara>
    </w:p>
    <w:p w14:paraId="0DFB9913" w14:textId="77777777" w:rsidR="004B5D06" w:rsidRDefault="00000000">
      <w:pPr>
        <w:pStyle w:val="FirstParagraph"/>
      </w:pPr>
      <w:r>
        <w:t>(2.56)</w:t>
      </w:r>
    </w:p>
    <w:p w14:paraId="082C1984" w14:textId="1C1F9CAD" w:rsidR="004B5D06" w:rsidRDefault="00812DB8">
      <w:pPr>
        <w:pStyle w:val="BodyText"/>
      </w:pPr>
      <w:r>
        <w:t>Гадаад валютын хадгаламжид ижил нөхцөл үйлчлэх бөгөөд түүнийг 2.5 хэсэгт (2.46) тэгшитгэлээр үзүүлэв.</w:t>
      </w:r>
      <w:r w:rsidR="00000000">
        <w:t xml:space="preserve"> Хөдөлмөрийн зах зээлд аж ахуй эрхлэгчийн хөлслөх хөдөлмөр нь харгалзах төрлийн өрхийн нийлүүлэлттэй тэнцэнэ.</w:t>
      </w:r>
    </w:p>
    <w:p w14:paraId="1EDB857E" w14:textId="77777777" w:rsidR="004B5D06"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P</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I</m:t>
              </m:r>
            </m:sup>
          </m:sSubSup>
        </m:oMath>
      </m:oMathPara>
    </w:p>
    <w:p w14:paraId="669CF083" w14:textId="77777777" w:rsidR="004B5D06" w:rsidRDefault="00000000">
      <w:pPr>
        <w:pStyle w:val="FirstParagraph"/>
      </w:pPr>
      <w:r>
        <w:lastRenderedPageBreak/>
        <w:t>(2.57)</w:t>
      </w:r>
    </w:p>
    <w:p w14:paraId="2DC3C535" w14:textId="47904397" w:rsidR="004B5D06" w:rsidRDefault="00000000">
      <w:pPr>
        <w:pStyle w:val="BodyText"/>
      </w:pPr>
      <w:r>
        <w:t xml:space="preserve">Орон сууцны зах зээлд нийлүүлэлт тогтмол тул хоёр төрлийн өрхийн эзэмшлийн нийлбэр түүнтэй тэнцэнэ. </w:t>
      </w:r>
      <w:r w:rsidR="00812DB8">
        <w:t>Биет</w:t>
      </w:r>
      <w:r>
        <w:t xml:space="preserve"> капитал, нийт үйлдвэрлэл, банкны нийт ашиг харгалзан аж ахуй эрхлэгч болон банкны эзлэх хувиар жигнэгдэн тодорхойлогдоно. Сүүлийн нөхцөл нь 2.4 хэсэгт танилцуулсан банк тус бүрийн ашгийг банкны өөрийн хөрөнгийн хуримтлалд орох нийт хэмжигдэхүүнтэй холбоно.</w:t>
      </w:r>
    </w:p>
    <w:p w14:paraId="4A714025" w14:textId="77777777" w:rsidR="004B5D06" w:rsidRDefault="00000000">
      <w:pPr>
        <w:pStyle w:val="BodyText"/>
      </w:pPr>
      <m:oMathPara>
        <m:oMathParaPr>
          <m:jc m:val="center"/>
        </m:oMathParaPr>
        <m:oMath>
          <m:acc>
            <m:accPr>
              <m:chr m:val="‾"/>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E</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E</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b</m:t>
              </m:r>
            </m:sup>
          </m:sSubSup>
        </m:oMath>
      </m:oMathPara>
    </w:p>
    <w:p w14:paraId="75B6A6A0" w14:textId="77777777" w:rsidR="004B5D06" w:rsidRDefault="00000000">
      <w:pPr>
        <w:pStyle w:val="FirstParagraph"/>
      </w:pPr>
      <w:r>
        <w:t>(2.58)</w:t>
      </w:r>
    </w:p>
    <w:p w14:paraId="7B234A7F" w14:textId="5925182F" w:rsidR="004B5D06" w:rsidRDefault="00812DB8">
      <w:pPr>
        <w:pStyle w:val="BodyText"/>
      </w:pPr>
      <w:r>
        <w:t>Барааны зах зээлийн тэнцвэрийг нөөцийн хязгаарлалт хангах бөгөөд түүнийг цэвэр экспортын тодорхойлолттой хамт 2.5 хэсэгт (2.50) тэгшитгэлээр үзүүлэв. Уг хязгаарлалтаар үйлдвэрлэсэн бүтээгдэхүүн нь хэрэглээ, хөрөнгө оруулалт, капиталын ашиглалтын зардал, банкны өөрийн хөрөнгийг удирдахад зарцуулагдах нөөц, хүү болон үнэ тогтоолтын зохицуулалтын зардал, мөн цэвэр экспортод хуваарилагдана. Орон сууцны зах зээлийн тэнцвэрээс ялгаатай нь энэ хязгаарлалтад жижиг, нээлттэй эдийн засгийн блок шууд оролцох тул түүнийг гадаад блокийн хамт танилцуул</w:t>
      </w:r>
      <w:r>
        <w:t>лаа</w:t>
      </w:r>
      <w:r>
        <w:t>.</w:t>
      </w:r>
    </w:p>
    <w:p w14:paraId="13EDEC71" w14:textId="21625154" w:rsidR="004B5D06" w:rsidRDefault="00000000">
      <w:pPr>
        <w:pStyle w:val="BodyText"/>
      </w:pPr>
      <w:r>
        <w:t>Ийнхүү 2.1-2.5 хэсэгт танилцуулсан агентуудын</w:t>
      </w:r>
      <w:r w:rsidR="00812DB8">
        <w:t xml:space="preserve"> оновчтой</w:t>
      </w:r>
      <w:r>
        <w:t xml:space="preserve"> шийдвэр, энэ хэсгийн нэгтгэлийн болон тэнцвэрийн нөхцөлүүд загварын бүрэн системийг бүрдүүлнэ.</w:t>
      </w:r>
      <w:bookmarkEnd w:id="0"/>
    </w:p>
    <w:sectPr w:rsidR="004B5D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E693F" w14:textId="77777777" w:rsidR="00385B9E" w:rsidRDefault="00385B9E">
      <w:pPr>
        <w:spacing w:after="0"/>
      </w:pPr>
      <w:r>
        <w:separator/>
      </w:r>
    </w:p>
  </w:endnote>
  <w:endnote w:type="continuationSeparator" w:id="0">
    <w:p w14:paraId="04B133D7" w14:textId="77777777" w:rsidR="00385B9E" w:rsidRDefault="00385B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CB148" w14:textId="77777777" w:rsidR="00385B9E" w:rsidRDefault="00385B9E">
      <w:r>
        <w:separator/>
      </w:r>
    </w:p>
  </w:footnote>
  <w:footnote w:type="continuationSeparator" w:id="0">
    <w:p w14:paraId="12120987" w14:textId="77777777" w:rsidR="00385B9E" w:rsidRDefault="00385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8058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470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1tjAxNzM0MrKwNDZT0lEKTi0uzszPAykwrAUAaKVFUiwAAAA="/>
  </w:docVars>
  <w:rsids>
    <w:rsidRoot w:val="004B5D06"/>
    <w:rsid w:val="00217708"/>
    <w:rsid w:val="00385B9E"/>
    <w:rsid w:val="004B5D06"/>
    <w:rsid w:val="007D13CD"/>
    <w:rsid w:val="00812D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7DB7"/>
  <w15:docId w15:val="{B56399C5-DC0D-4755-9971-D88ED9CA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3</cp:revision>
  <dcterms:created xsi:type="dcterms:W3CDTF">2026-08-18T14:40:00Z</dcterms:created>
  <dcterms:modified xsi:type="dcterms:W3CDTF">2026-08-18T15:10:00Z</dcterms:modified>
</cp:coreProperties>
</file>