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5C11" w14:textId="77777777" w:rsidR="0001604F" w:rsidRDefault="00000000">
      <w:pPr>
        <w:pStyle w:val="Heading1"/>
      </w:pPr>
      <w:bookmarkStart w:id="0" w:name="банкны-сектор"/>
      <w:r>
        <w:t>2.4 Банкны сектор</w:t>
      </w:r>
    </w:p>
    <w:p w14:paraId="46D9BB50" w14:textId="221D9326" w:rsidR="0001604F" w:rsidRDefault="00000000">
      <w:pPr>
        <w:pStyle w:val="FirstParagraph"/>
      </w:pPr>
      <w:r>
        <w:t xml:space="preserve">Банк зээл, хадгаламжийн зах зээл дээр тодорхой хэмжээний зах зээлийн </w:t>
      </w:r>
      <w:r w:rsidR="00231E62">
        <w:rPr>
          <w:lang w:val="mn-MN"/>
        </w:rPr>
        <w:t>хүүг тогтоох</w:t>
      </w:r>
      <w:r>
        <w:t xml:space="preserve"> </w:t>
      </w:r>
      <w:r w:rsidR="00231E62">
        <w:t>хүчтэй</w:t>
      </w:r>
      <w:r>
        <w:t xml:space="preserve"> байх бөгөөд түүнийг ашиглан шок болон эдийн засгийн мөчлөгийн нөхцөлд хариу үзүүлж хүүгээ тохируулна. Тайлбарыг хялбар болгох үүднээс банк бүрийг хоёр жижиглэнгийн салбар, нэг бөөний нэгжээс бүрдэнэ гэж үзнэ. Эхний жижиглэнгийн салбар өрх, аж ахуй эрхлэгчид ялгаварласан зээл олгох, хоёр дахь нь ялгаварласан хадгаламж татах үүрэгтэй. Эдгээр салбар монопольт өрсөлдөөний нөхцөлд, зохицуулалтын зардалд захирагдан хүүгээ тогтооно. Бөөний нэгж бүлгийн хөрөнгө, өр төлбөрийн байрлалыг удирдана.</w:t>
      </w:r>
    </w:p>
    <w:p w14:paraId="29F3BC50" w14:textId="3B49DC06" w:rsidR="0001604F" w:rsidRDefault="00000000">
      <w:pPr>
        <w:pStyle w:val="BodyText"/>
      </w:pPr>
      <w:r>
        <w:t>Энэ бүлгийн өргөтгөл банкны секторын хоёр хэсэгт нөлөөлнө. Бөөний нэгжийн балансад гадаад валютын хадгаламж, гадаад зээл нэмэгдэж, түүний оновчлолын бодлогод эдгээр эх үүсвэрийн хэмжээг сонгох шийдвэр орно. Жижиглэнгийн хадгаламжийн салбар дотоодын хадгаламжийн хүү</w:t>
      </w:r>
      <w:r w:rsidR="00D339D9">
        <w:t>г</w:t>
      </w:r>
      <w:r>
        <w:t>ээс гадна гадаад валютын хадгаламжийн хүүг тогтооно. Зээлийн салбарын асуудал эх загварынхтай бүрэн ижил байна.</w:t>
      </w:r>
    </w:p>
    <w:p w14:paraId="068C1126" w14:textId="77777777" w:rsidR="0001604F" w:rsidRDefault="00000000">
      <w:pPr>
        <w:pStyle w:val="Heading2"/>
      </w:pPr>
      <w:bookmarkStart w:id="1" w:name="зээл-ба-хадгаламжийн-эрэлт"/>
      <w:r>
        <w:t>2.4.1 Зээл ба хадгаламжийн эрэлт</w:t>
      </w:r>
    </w:p>
    <w:p w14:paraId="467A883D" w14:textId="5ABE8E49" w:rsidR="0001604F" w:rsidRDefault="00000000">
      <w:pPr>
        <w:pStyle w:val="FirstParagraph"/>
      </w:pPr>
      <w:r>
        <w:t xml:space="preserve">Өрх, аж ахуй эрхлэгчийн худалдан авах зээл, хадгаламжийн нэгжүүд банк бүрийн нийлүүлдэг бага зэрэг ялгаатай бүтээгдэхүүнээс бүрдсэн тогтмол орлуулалтын </w:t>
      </w:r>
      <w:r w:rsidR="004D0552">
        <w:t>мэдрэмжтэй</w:t>
      </w:r>
      <w:r>
        <w:t xml:space="preserve"> нийлмэл багц гэж үзнэ. Орлуулалтын </w:t>
      </w:r>
      <w:r w:rsidR="004D0552">
        <w:t>мэдрэмжүүд</w:t>
      </w:r>
      <w:r>
        <w:t xml:space="preserve"> </w:t>
      </w:r>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bH</m:t>
            </m:r>
          </m:sup>
        </m:sSubSup>
        <m:r>
          <m:rPr>
            <m:sty m:val="p"/>
          </m:rPr>
          <w:rPr>
            <w:rFonts w:ascii="Cambria Math" w:hAnsi="Cambria Math"/>
          </w:rPr>
          <m:t>&gt;</m:t>
        </m:r>
        <m:r>
          <w:rPr>
            <w:rFonts w:ascii="Cambria Math" w:hAnsi="Cambria Math"/>
          </w:rPr>
          <m:t>1</m:t>
        </m:r>
      </m:oMath>
      <w:r>
        <w:t xml:space="preserve">, </w:t>
      </w:r>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bE</m:t>
            </m:r>
          </m:sup>
        </m:sSubSup>
        <m:r>
          <m:rPr>
            <m:sty m:val="p"/>
          </m:rPr>
          <w:rPr>
            <w:rFonts w:ascii="Cambria Math" w:hAnsi="Cambria Math"/>
          </w:rPr>
          <m:t>&gt;</m:t>
        </m:r>
        <m:r>
          <w:rPr>
            <w:rFonts w:ascii="Cambria Math" w:hAnsi="Cambria Math"/>
          </w:rPr>
          <m:t>1</m:t>
        </m:r>
      </m:oMath>
      <w:r>
        <w:t xml:space="preserve">, </w:t>
      </w:r>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d</m:t>
            </m:r>
          </m:sup>
        </m:sSubSup>
        <m:r>
          <m:rPr>
            <m:sty m:val="p"/>
          </m:rPr>
          <w:rPr>
            <w:rFonts w:ascii="Cambria Math" w:hAnsi="Cambria Math"/>
          </w:rPr>
          <m:t>&lt;-</m:t>
        </m:r>
        <m:r>
          <w:rPr>
            <w:rFonts w:ascii="Cambria Math" w:hAnsi="Cambria Math"/>
          </w:rPr>
          <m:t>1</m:t>
        </m:r>
      </m:oMath>
      <w:r>
        <w:t xml:space="preserve"> бөгөөд гадаад валютын хадгаламжийн хувьд </w:t>
      </w:r>
      <m:oMath>
        <m:sSubSup>
          <m:sSubSupPr>
            <m:ctrlPr>
              <w:rPr>
                <w:rFonts w:ascii="Cambria Math" w:hAnsi="Cambria Math"/>
              </w:rPr>
            </m:ctrlPr>
          </m:sSubSupPr>
          <m:e>
            <m:r>
              <w:rPr>
                <w:rFonts w:ascii="Cambria Math" w:hAnsi="Cambria Math"/>
              </w:rPr>
              <m:t>ε</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r>
          <m:rPr>
            <m:sty m:val="p"/>
          </m:rPr>
          <w:rPr>
            <w:rFonts w:ascii="Cambria Math" w:hAnsi="Cambria Math"/>
          </w:rPr>
          <m:t>&lt;-</m:t>
        </m:r>
        <m:r>
          <w:rPr>
            <w:rFonts w:ascii="Cambria Math" w:hAnsi="Cambria Math"/>
          </w:rPr>
          <m:t>1</m:t>
        </m:r>
      </m:oMath>
      <w:r>
        <w:t xml:space="preserve"> байна. Эдгээр </w:t>
      </w:r>
      <w:r w:rsidR="004D0552">
        <w:t>мэдрэмж</w:t>
      </w:r>
      <w:r>
        <w:t xml:space="preserve"> банкны хүү б</w:t>
      </w:r>
      <w:r w:rsidR="004D0552">
        <w:t>а</w:t>
      </w:r>
      <w:r>
        <w:t xml:space="preserve"> бодлогын хүүний хоорондын зөрүүг тодорхойлох гол хүчин зүйл болох тул тус бүрийг стохастик процесс дагана гэж үзсэнээр зээлийн зах зээлийн зөрүүнд экзоген бүрэлдэхүүн хэсэг нэвтэрнэ.</w:t>
      </w:r>
    </w:p>
    <w:p w14:paraId="65C97728" w14:textId="0EB91D13" w:rsidR="0001604F" w:rsidRDefault="00000000">
      <w:pPr>
        <w:pStyle w:val="BodyText"/>
      </w:pPr>
      <w:r>
        <w:t xml:space="preserve">Тэвчээргүй өрх </w:t>
      </w:r>
      <m:oMath>
        <m:r>
          <w:rPr>
            <w:rFonts w:ascii="Cambria Math" w:hAnsi="Cambria Math"/>
          </w:rPr>
          <m:t>i</m:t>
        </m:r>
      </m:oMath>
      <w:r>
        <w:t xml:space="preserve"> нь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t</m:t>
            </m:r>
          </m:sub>
          <m:sup>
            <m:r>
              <w:rPr>
                <w:rFonts w:ascii="Cambria Math" w:hAnsi="Cambria Math"/>
              </w:rPr>
              <m:t>I</m:t>
            </m:r>
          </m:sup>
        </m:sSubSup>
        <m:d>
          <m:dPr>
            <m:ctrlPr>
              <w:rPr>
                <w:rFonts w:ascii="Cambria Math" w:hAnsi="Cambria Math"/>
              </w:rPr>
            </m:ctrlPr>
          </m:dPr>
          <m:e>
            <m:r>
              <w:rPr>
                <w:rFonts w:ascii="Cambria Math" w:hAnsi="Cambria Math"/>
              </w:rPr>
              <m:t>i</m:t>
            </m:r>
          </m:e>
        </m:d>
      </m:oMath>
      <w:r>
        <w:t xml:space="preserve"> хэмжээний бодит зээл авахдаа банкуудад төлөх нийт төлбөрөө минимумчилна. Симметр өрхүүдээр нэгтгэснээр банк </w:t>
      </w:r>
      <m:oMath>
        <m:r>
          <w:rPr>
            <w:rFonts w:ascii="Cambria Math" w:hAnsi="Cambria Math"/>
          </w:rPr>
          <m:t>j</m:t>
        </m:r>
      </m:oMath>
      <w:r>
        <w:t>-д хандах зээлийн эрэлт тухайн банкны тогтоосон хүү болон салбарын хүүний индексийн харьцаанаас хамаарна. Аж ахуй эрхлэгчийн зээлд ижил үндэслэл хэрэглэснээр дараах эрэлтийн функцууд гарна.</w:t>
      </w:r>
    </w:p>
    <w:p w14:paraId="7CED220E" w14:textId="77777777" w:rsidR="0001604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I</m:t>
              </m:r>
            </m:sup>
          </m:sSubSup>
          <m:d>
            <m:dPr>
              <m:ctrlPr>
                <w:rPr>
                  <w:rFonts w:ascii="Cambria Math" w:hAnsi="Cambria Math"/>
                </w:rPr>
              </m:ctrlPr>
            </m:dPr>
            <m:e>
              <m:r>
                <w:rPr>
                  <w:rFonts w:ascii="Cambria Math" w:hAnsi="Cambria Math"/>
                </w:rPr>
                <m:t>j</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bH</m:t>
                          </m:r>
                        </m:sup>
                      </m:sSubSup>
                      <m:d>
                        <m:dPr>
                          <m:ctrlPr>
                            <w:rPr>
                              <w:rFonts w:ascii="Cambria Math" w:hAnsi="Cambria Math"/>
                            </w:rPr>
                          </m:ctrlPr>
                        </m:dPr>
                        <m:e>
                          <m:r>
                            <w:rPr>
                              <w:rFonts w:ascii="Cambria Math" w:hAnsi="Cambria Math"/>
                            </w:rPr>
                            <m:t>j</m:t>
                          </m:r>
                        </m:e>
                      </m:d>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bH</m:t>
                          </m:r>
                        </m:sup>
                      </m:sSubSup>
                    </m:den>
                  </m:f>
                </m:e>
              </m:d>
            </m:e>
            <m: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bH</m:t>
                  </m:r>
                </m:sup>
              </m:sSubSup>
            </m:sup>
          </m:sSup>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I</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d>
            <m:dPr>
              <m:ctrlPr>
                <w:rPr>
                  <w:rFonts w:ascii="Cambria Math" w:hAnsi="Cambria Math"/>
                </w:rPr>
              </m:ctrlPr>
            </m:dPr>
            <m:e>
              <m:r>
                <w:rPr>
                  <w:rFonts w:ascii="Cambria Math" w:hAnsi="Cambria Math"/>
                </w:rPr>
                <m:t>j</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bE</m:t>
                          </m:r>
                        </m:sup>
                      </m:sSubSup>
                      <m:d>
                        <m:dPr>
                          <m:ctrlPr>
                            <w:rPr>
                              <w:rFonts w:ascii="Cambria Math" w:hAnsi="Cambria Math"/>
                            </w:rPr>
                          </m:ctrlPr>
                        </m:dPr>
                        <m:e>
                          <m:r>
                            <w:rPr>
                              <w:rFonts w:ascii="Cambria Math" w:hAnsi="Cambria Math"/>
                            </w:rPr>
                            <m:t>j</m:t>
                          </m:r>
                        </m:e>
                      </m:d>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bE</m:t>
                          </m:r>
                        </m:sup>
                      </m:sSubSup>
                    </m:den>
                  </m:f>
                </m:e>
              </m:d>
            </m:e>
            <m: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bE</m:t>
                  </m:r>
                </m:sup>
              </m:sSubSup>
            </m:sup>
          </m:sSup>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oMath>
      </m:oMathPara>
    </w:p>
    <w:p w14:paraId="30405BD6" w14:textId="77777777" w:rsidR="0001604F" w:rsidRDefault="00000000">
      <w:pPr>
        <w:pStyle w:val="FirstParagraph"/>
      </w:pPr>
      <w:r>
        <w:t>(2.28)</w:t>
      </w:r>
    </w:p>
    <w:p w14:paraId="300FF82F" w14:textId="77777777" w:rsidR="0001604F" w:rsidRDefault="00000000">
      <w:pPr>
        <w:pStyle w:val="BodyText"/>
      </w:pPr>
      <w:r>
        <w:t>Тэвчээртэй өрхийн хадгаламжийн эрэлтийг ижил аргаар, харин минимумчлалын оронд нийт хуримтлалын өгөөжийг максимумчлах замаар гаргана. Дотоодын валютын хадгаламжийн хувьд</w:t>
      </w:r>
    </w:p>
    <w:p w14:paraId="6FB0FBF0" w14:textId="77777777" w:rsidR="0001604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P</m:t>
              </m:r>
            </m:sup>
          </m:sSubSup>
          <m:d>
            <m:dPr>
              <m:ctrlPr>
                <w:rPr>
                  <w:rFonts w:ascii="Cambria Math" w:hAnsi="Cambria Math"/>
                </w:rPr>
              </m:ctrlPr>
            </m:dPr>
            <m:e>
              <m:r>
                <w:rPr>
                  <w:rFonts w:ascii="Cambria Math" w:hAnsi="Cambria Math"/>
                </w:rPr>
                <m:t>j</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d>
                        <m:dPr>
                          <m:ctrlPr>
                            <w:rPr>
                              <w:rFonts w:ascii="Cambria Math" w:hAnsi="Cambria Math"/>
                            </w:rPr>
                          </m:ctrlPr>
                        </m:dPr>
                        <m:e>
                          <m:r>
                            <w:rPr>
                              <w:rFonts w:ascii="Cambria Math" w:hAnsi="Cambria Math"/>
                            </w:rPr>
                            <m:t>j</m:t>
                          </m:r>
                        </m:e>
                      </m:d>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den>
                  </m:f>
                </m:e>
              </m:d>
            </m:e>
            <m: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d</m:t>
                  </m:r>
                </m:sup>
              </m:sSubSup>
            </m:sup>
          </m:sSup>
          <m:sSub>
            <m:sSubPr>
              <m:ctrlPr>
                <w:rPr>
                  <w:rFonts w:ascii="Cambria Math" w:hAnsi="Cambria Math"/>
                </w:rPr>
              </m:ctrlPr>
            </m:sSubPr>
            <m:e>
              <m:r>
                <w:rPr>
                  <w:rFonts w:ascii="Cambria Math" w:hAnsi="Cambria Math"/>
                </w:rPr>
                <m:t>d</m:t>
              </m:r>
            </m:e>
            <m:sub>
              <m:r>
                <w:rPr>
                  <w:rFonts w:ascii="Cambria Math" w:hAnsi="Cambria Math"/>
                </w:rPr>
                <m:t>t</m:t>
              </m:r>
            </m:sub>
          </m:sSub>
        </m:oMath>
      </m:oMathPara>
    </w:p>
    <w:p w14:paraId="73BE105C" w14:textId="77777777" w:rsidR="0001604F" w:rsidRDefault="00000000">
      <w:pPr>
        <w:pStyle w:val="FirstParagraph"/>
      </w:pPr>
      <w:r>
        <w:lastRenderedPageBreak/>
        <w:t>(2.29)</w:t>
      </w:r>
    </w:p>
    <w:p w14:paraId="5D868218" w14:textId="77777777" w:rsidR="0001604F" w:rsidRDefault="00000000">
      <w:pPr>
        <w:pStyle w:val="BodyText"/>
      </w:pPr>
      <w:r>
        <w:t>бөгөөд энэ бүлгийн өргөтгөлөөр өрх хуримтлалаа хоёр валютад хуваарилдаг тул гадаад валютын хадгаламжид ижил бүтэцтэй эрэлт нэмэгдэнэ.</w:t>
      </w:r>
    </w:p>
    <w:p w14:paraId="0C39C97C" w14:textId="77777777" w:rsidR="0001604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t</m:t>
              </m:r>
            </m:sub>
            <m:sup>
              <m:sSup>
                <m:sSupPr>
                  <m:ctrlPr>
                    <w:rPr>
                      <w:rFonts w:ascii="Cambria Math" w:hAnsi="Cambria Math"/>
                    </w:rPr>
                  </m:ctrlPr>
                </m:sSupPr>
                <m:e>
                  <m:r>
                    <w:rPr>
                      <w:rFonts w:ascii="Cambria Math" w:hAnsi="Cambria Math"/>
                    </w:rPr>
                    <m:t>P</m:t>
                  </m:r>
                </m:e>
                <m:sup>
                  <m:r>
                    <m:rPr>
                      <m:sty m:val="p"/>
                    </m:rPr>
                    <w:rPr>
                      <w:rFonts w:ascii="Cambria Math" w:hAnsi="Cambria Math"/>
                    </w:rPr>
                    <m:t>*</m:t>
                  </m:r>
                </m:sup>
              </m:sSup>
            </m:sup>
          </m:sSubSup>
          <m:d>
            <m:dPr>
              <m:ctrlPr>
                <w:rPr>
                  <w:rFonts w:ascii="Cambria Math" w:hAnsi="Cambria Math"/>
                </w:rPr>
              </m:ctrlPr>
            </m:dPr>
            <m:e>
              <m:r>
                <w:rPr>
                  <w:rFonts w:ascii="Cambria Math" w:hAnsi="Cambria Math"/>
                </w:rPr>
                <m:t>j</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
                        <m:dPr>
                          <m:ctrlPr>
                            <w:rPr>
                              <w:rFonts w:ascii="Cambria Math" w:hAnsi="Cambria Math"/>
                            </w:rPr>
                          </m:ctrlPr>
                        </m:dPr>
                        <m:e>
                          <m:r>
                            <w:rPr>
                              <w:rFonts w:ascii="Cambria Math" w:hAnsi="Cambria Math"/>
                            </w:rPr>
                            <m:t>j</m:t>
                          </m:r>
                        </m:e>
                      </m:d>
                    </m:num>
                    <m:den>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en>
                  </m:f>
                </m:e>
              </m:d>
            </m:e>
            <m: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sup>
          </m:sSup>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oMath>
      </m:oMathPara>
    </w:p>
    <w:p w14:paraId="1FF349B4" w14:textId="77777777" w:rsidR="0001604F" w:rsidRDefault="00000000">
      <w:pPr>
        <w:pStyle w:val="FirstParagraph"/>
      </w:pPr>
      <w:r>
        <w:t>(2.30)</w:t>
      </w:r>
    </w:p>
    <w:p w14:paraId="535F45F2" w14:textId="504E88FA" w:rsidR="0001604F" w:rsidRDefault="00000000">
      <w:pPr>
        <w:pStyle w:val="BodyText"/>
      </w:pPr>
      <w:r>
        <w:t xml:space="preserve">Энд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oMath>
      <w:r>
        <w:t xml:space="preserve"> нь</w:t>
      </w:r>
      <w:r w:rsidR="00AF3D44">
        <w:t xml:space="preserve"> харгалзан</w:t>
      </w:r>
      <w:r>
        <w:t xml:space="preserve"> </w:t>
      </w:r>
      <w:r w:rsidR="00AF3D44">
        <w:t xml:space="preserve">дотоод, гадаад валютын </w:t>
      </w:r>
      <w:r>
        <w:t xml:space="preserve">нийт хадгаламж бөгөөд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oMath>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oMath>
      <w:r>
        <w:t xml:space="preserve"> нь харгалзах хүүний индексүүд юм. Гадаад валютын хадгаламжийн эрэлтийг дотоодынхтой ижил хэлбэрээр загварчилсан нь өрхийн хувьд хоёр валют нь орлуулагч боловч төгс бус орлуулагч болохыг илэрхийлнэ.</w:t>
      </w:r>
    </w:p>
    <w:p w14:paraId="090B40AA" w14:textId="77777777" w:rsidR="0001604F" w:rsidRDefault="00000000">
      <w:pPr>
        <w:pStyle w:val="Heading2"/>
      </w:pPr>
      <w:bookmarkStart w:id="2" w:name="бөөний-нэгж"/>
      <w:bookmarkEnd w:id="1"/>
      <w:r>
        <w:t>2.4.2 Бөөний нэгж</w:t>
      </w:r>
    </w:p>
    <w:p w14:paraId="0FBC74E1" w14:textId="57A29338" w:rsidR="0001604F" w:rsidRDefault="00000000">
      <w:pPr>
        <w:pStyle w:val="FirstParagraph"/>
      </w:pPr>
      <w:r>
        <w:t xml:space="preserve">Бөөний нэгж бүр төгс өрсөлдөөний нөхцөлд ажиллана. Өр төлбөрийн талд өөрийн хөрөнгө </w:t>
      </w:r>
      <m:oMath>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oMath>
      <w:r>
        <w:t xml:space="preserve">, бөөний хадгаламж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мөн энэ бүлгийн өргөтгөлөөр гадаад валютын хадгаламж </w:t>
      </w:r>
      <m:oMath>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oMath>
      <w:r>
        <w:t xml:space="preserve"> гадаад зээл </w:t>
      </w:r>
      <m:oMath>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oMath>
      <w:r>
        <w:t xml:space="preserve"> нэмэгдэнэ. Хөрөнгийн талд бөөний зээл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олгоно. Балансын адилтгал дараах хэлбэртэй болно.</w:t>
      </w:r>
    </w:p>
    <w:p w14:paraId="4BDC9B47" w14:textId="77777777" w:rsidR="0001604F"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oMath>
      </m:oMathPara>
    </w:p>
    <w:p w14:paraId="693DCDD4" w14:textId="77777777" w:rsidR="0001604F" w:rsidRDefault="00000000">
      <w:pPr>
        <w:pStyle w:val="FirstParagraph"/>
      </w:pPr>
      <w:r>
        <w:t>(2.31)</w:t>
      </w:r>
    </w:p>
    <w:p w14:paraId="030E3275" w14:textId="3466E3BD" w:rsidR="0001604F" w:rsidRDefault="00000000">
      <w:pPr>
        <w:pStyle w:val="BodyText"/>
      </w:pPr>
      <w:r>
        <w:t xml:space="preserve">Бөөний нэгж гурван төрлийн зохицуулалтын зардал үүрнэ. Нэгдүгээрт, өөрийн хөрөнгө, хөрөнгийн харьцаа </w:t>
      </w:r>
      <m:oMath>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нь зорилтот түвшин </w:t>
      </w:r>
      <m:oMath>
        <m:sSup>
          <m:sSupPr>
            <m:ctrlPr>
              <w:rPr>
                <w:rFonts w:ascii="Cambria Math" w:hAnsi="Cambria Math"/>
              </w:rPr>
            </m:ctrlPr>
          </m:sSupPr>
          <m:e>
            <m:r>
              <w:rPr>
                <w:rFonts w:ascii="Cambria Math" w:hAnsi="Cambria Math"/>
              </w:rPr>
              <m:t>ν</m:t>
            </m:r>
          </m:e>
          <m:sup>
            <m:r>
              <w:rPr>
                <w:rFonts w:ascii="Cambria Math" w:hAnsi="Cambria Math"/>
              </w:rPr>
              <m:t>b</m:t>
            </m:r>
          </m:sup>
        </m:sSup>
      </m:oMath>
      <w:r>
        <w:t xml:space="preserve">-ээс хазайхад </w:t>
      </w:r>
      <m:oMath>
        <m:sSub>
          <m:sSubPr>
            <m:ctrlPr>
              <w:rPr>
                <w:rFonts w:ascii="Cambria Math" w:hAnsi="Cambria Math"/>
              </w:rPr>
            </m:ctrlPr>
          </m:sSubPr>
          <m:e>
            <m:r>
              <w:rPr>
                <w:rFonts w:ascii="Cambria Math" w:hAnsi="Cambria Math"/>
              </w:rPr>
              <m:t>κ</m:t>
            </m:r>
          </m:e>
          <m:sub>
            <m:r>
              <w:rPr>
                <w:rFonts w:ascii="Cambria Math" w:hAnsi="Cambria Math"/>
              </w:rPr>
              <m:t>Kb</m:t>
            </m:r>
          </m:sub>
        </m:sSub>
      </m:oMath>
      <w:r>
        <w:t xml:space="preserve"> параметрээр тодорхойлогдох квадрат зардал төлнө. Хоёрдугаарт, гадаад зээлийн харьцаа </w:t>
      </w:r>
      <m:oMath>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нь зорилтот түвшин </w:t>
      </w:r>
      <m:oMath>
        <m:sSup>
          <m:sSupPr>
            <m:ctrlPr>
              <w:rPr>
                <w:rFonts w:ascii="Cambria Math" w:hAnsi="Cambria Math"/>
              </w:rPr>
            </m:ctrlPr>
          </m:sSupPr>
          <m:e>
            <m:r>
              <w:rPr>
                <w:rFonts w:ascii="Cambria Math" w:hAnsi="Cambria Math"/>
              </w:rPr>
              <m:t>ν</m:t>
            </m:r>
          </m:e>
          <m:sup>
            <m:r>
              <w:rPr>
                <w:rFonts w:ascii="Cambria Math" w:hAnsi="Cambria Math"/>
              </w:rPr>
              <m:t>f</m:t>
            </m:r>
          </m:sup>
        </m:sSup>
      </m:oMath>
      <w:r>
        <w:t xml:space="preserve">-ээс хазайхад </w:t>
      </w:r>
      <m:oMath>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oMath>
      <w:r>
        <w:t xml:space="preserve"> параметрээр тодорхойлогдох зардал төлнө. Гуравдугаарт, гадаад валютын хадгаламжийн хэмжээг өөрчлөхөд </w:t>
      </w:r>
      <m:oMath>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oMath>
      <w:r>
        <w:t xml:space="preserve"> параметрээр тодорхойлогдох зардал төлнө. Ийнхүү бөөний нэгжийн </w:t>
      </w:r>
      <w:r w:rsidR="00186998">
        <w:t>оновчлолын бодлого</w:t>
      </w:r>
      <w:r>
        <w:t xml:space="preserve"> балансын хязгаарлалтад захирагдан бодит мөнгөн урсгалын хямдруулсан нийлбэрийг максимумчлах явдал болно.</w:t>
      </w:r>
    </w:p>
    <w:p w14:paraId="52B27052" w14:textId="77777777" w:rsidR="0001604F"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lim>
                </m:limLow>
                <m:sSub>
                  <m:sSubPr>
                    <m:ctrlPr>
                      <w:rPr>
                        <w:rFonts w:ascii="Cambria Math" w:hAnsi="Cambria Math"/>
                      </w:rPr>
                    </m:ctrlPr>
                  </m:sSubPr>
                  <m:e>
                    <m:r>
                      <w:rPr>
                        <w:rFonts w:ascii="Cambria Math" w:hAnsi="Cambria Math"/>
                      </w:rPr>
                      <m:t>E</m:t>
                    </m:r>
                  </m:e>
                  <m:sub>
                    <m:r>
                      <w:rPr>
                        <w:rFonts w:ascii="Cambria Math" w:hAnsi="Cambria Math"/>
                      </w:rPr>
                      <m:t>0</m:t>
                    </m:r>
                  </m:sub>
                </m:sSub>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Λ</m:t>
                        </m:r>
                      </m:e>
                      <m:sub>
                        <m:r>
                          <w:rPr>
                            <w:rFonts w:ascii="Cambria Math" w:hAnsi="Cambria Math"/>
                          </w:rPr>
                          <m:t>0</m:t>
                        </m:r>
                        <m:r>
                          <m:rPr>
                            <m:sty m:val="p"/>
                          </m:rPr>
                          <w:rPr>
                            <w:rFonts w:ascii="Cambria Math" w:hAnsi="Cambria Math"/>
                          </w:rPr>
                          <m:t>,</m:t>
                        </m:r>
                        <m:r>
                          <w:rPr>
                            <w:rFonts w:ascii="Cambria Math" w:hAnsi="Cambria Math"/>
                          </w:rPr>
                          <m:t>t</m:t>
                        </m:r>
                      </m:sub>
                      <m:sup>
                        <m:r>
                          <w:rPr>
                            <w:rFonts w:ascii="Cambria Math" w:hAnsi="Cambria Math"/>
                          </w:rPr>
                          <m:t>P</m:t>
                        </m:r>
                      </m:sup>
                    </m:sSubSup>
                  </m:e>
                </m:nary>
                <m:r>
                  <m:rPr>
                    <m:sty m:val="p"/>
                  </m:rPr>
                  <w:rPr>
                    <w:rFonts w:ascii="Cambria Math" w:hAnsi="Cambria Math"/>
                  </w:rPr>
                  <m:t>[</m:t>
                </m:r>
              </m:e>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m:t>
                        </m:r>
                      </m:sup>
                    </m:sSubSup>
                  </m:e>
                </m:d>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e>
            </m:mr>
            <m:mr>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e>
                </m:d>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e>
                </m:d>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F</m:t>
                            </m:r>
                          </m:e>
                          <m:sup>
                            <m:r>
                              <m:rPr>
                                <m:sty m:val="p"/>
                              </m:rPr>
                              <w:rPr>
                                <w:rFonts w:ascii="Cambria Math" w:hAnsi="Cambria Math"/>
                              </w:rPr>
                              <m:t>*</m:t>
                            </m:r>
                          </m:sup>
                        </m:sSup>
                      </m:sup>
                    </m:sSubSup>
                  </m:e>
                </m:d>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m:t>
                        </m:r>
                      </m:sup>
                    </m:sSubSup>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e>
                </m:d>
              </m:e>
            </m:mr>
            <m:mr>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f</m:t>
                            </m:r>
                          </m:sup>
                        </m:sSup>
                      </m:e>
                    </m:d>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Kb</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b</m:t>
                            </m:r>
                          </m:sup>
                        </m:sSup>
                      </m:e>
                    </m:d>
                  </m:e>
                  <m:sup>
                    <m:r>
                      <w:rPr>
                        <w:rFonts w:ascii="Cambria Math" w:hAnsi="Cambria Math"/>
                      </w:rPr>
                      <m:t>2</m:t>
                    </m:r>
                  </m:sup>
                </m:sSup>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r>
                  <m:rPr>
                    <m:sty m:val="p"/>
                  </m:rPr>
                  <w:rPr>
                    <w:rFonts w:ascii="Cambria Math" w:hAnsi="Cambria Math"/>
                  </w:rPr>
                  <m:t>]</m:t>
                </m:r>
              </m:e>
            </m:mr>
          </m:m>
        </m:oMath>
      </m:oMathPara>
    </w:p>
    <w:p w14:paraId="228BCE03" w14:textId="77777777" w:rsidR="0001604F" w:rsidRDefault="00000000">
      <w:pPr>
        <w:pStyle w:val="FirstParagraph"/>
      </w:pPr>
      <w:r>
        <w:t>(2.32)</w:t>
      </w:r>
    </w:p>
    <w:p w14:paraId="686B19DC" w14:textId="02175BF0" w:rsidR="0001604F" w:rsidRDefault="00000000">
      <w:pPr>
        <w:pStyle w:val="BodyText"/>
      </w:pPr>
      <w:r>
        <w:t xml:space="preserve">Балансын хязгаарлалтыг </w:t>
      </w:r>
      <m:oMath>
        <m:r>
          <w:rPr>
            <w:rFonts w:ascii="Cambria Math" w:hAnsi="Cambria Math"/>
          </w:rPr>
          <m:t>t</m:t>
        </m:r>
      </m:oMath>
      <w:r>
        <w:t xml:space="preserve"> болон </w:t>
      </w:r>
      <m:oMath>
        <m:r>
          <w:rPr>
            <w:rFonts w:ascii="Cambria Math" w:hAnsi="Cambria Math"/>
          </w:rPr>
          <m:t>t</m:t>
        </m:r>
        <m:r>
          <m:rPr>
            <m:sty m:val="p"/>
          </m:rPr>
          <w:rPr>
            <w:rFonts w:ascii="Cambria Math" w:hAnsi="Cambria Math"/>
          </w:rPr>
          <m:t>+</m:t>
        </m:r>
        <m:r>
          <w:rPr>
            <w:rFonts w:ascii="Cambria Math" w:hAnsi="Cambria Math"/>
          </w:rPr>
          <m:t>1</m:t>
        </m:r>
      </m:oMath>
      <w:r>
        <w:t xml:space="preserve"> үед хоёр удаа ашиглан хялбарчилснаар зорилгын функц урсгал ашиг болон зохицуулалтын зардлын зөрүү болж хураангуйлагдана. Төв банкнаас бодлогын хүүгээр хязгааргүй санхүүжилт авах боломжтой</w:t>
      </w:r>
      <w:r w:rsidR="007A2FF5">
        <w:t xml:space="preserve"> гэсэн урьдач нөхцөл тавьж байгаа тул</w:t>
      </w:r>
      <w:r>
        <w:t xml:space="preserve"> арбитражаар бөөний </w:t>
      </w:r>
      <w:r>
        <w:lastRenderedPageBreak/>
        <w:t>хадгаламжийн хүү бодлогын хүүтэй тэнцэнэ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w:r>
        <w:t>). Нэгдүгээр эрэмбийн нөхцөлүүд дараах байдалтай гарна.</w:t>
      </w:r>
    </w:p>
    <w:p w14:paraId="6FCC05C7" w14:textId="279EACC8" w:rsidR="0001604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Kb</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b</m:t>
                  </m:r>
                </m:sup>
              </m:s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f</m:t>
                  </m:r>
                </m:sup>
              </m:s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e>
              </m:d>
            </m:e>
            <m:sup>
              <m:r>
                <w:rPr>
                  <w:rFonts w:ascii="Cambria Math" w:hAnsi="Cambria Math"/>
                </w:rPr>
                <m:t>2</m:t>
              </m:r>
            </m:sup>
          </m:sSup>
        </m:oMath>
      </m:oMathPara>
    </w:p>
    <w:p w14:paraId="0106A2FA" w14:textId="77777777" w:rsidR="0001604F" w:rsidRDefault="00000000">
      <w:pPr>
        <w:pStyle w:val="FirstParagraph"/>
      </w:pPr>
      <w:r>
        <w:t>(2.33)</w:t>
      </w:r>
    </w:p>
    <w:p w14:paraId="76A6F1B6" w14:textId="03C381AF" w:rsidR="0001604F" w:rsidRDefault="00000000">
      <w:pPr>
        <w:pStyle w:val="BodyText"/>
      </w:pPr>
      <m:oMathPara>
        <m:oMathParaPr>
          <m:jc m:val="center"/>
        </m:oMathParaPr>
        <m:oMath>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F</m:t>
                      </m:r>
                    </m:e>
                    <m:sup>
                      <m:r>
                        <m:rPr>
                          <m:sty m:val="p"/>
                        </m:rPr>
                        <w:rPr>
                          <w:rFonts w:ascii="Cambria Math" w:hAnsi="Cambria Math"/>
                        </w:rPr>
                        <m:t>*</m:t>
                      </m:r>
                    </m:sup>
                  </m:sSup>
                </m:sup>
              </m:sSubSup>
            </m:e>
          </m:d>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t</m:t>
                  </m:r>
                </m:sub>
              </m:sSub>
            </m:den>
          </m:f>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f</m:t>
                  </m:r>
                </m:sup>
              </m:sSup>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f</m:t>
                      </m:r>
                    </m:sup>
                  </m:sSup>
                </m:e>
              </m:d>
            </m:e>
            <m:sup>
              <m:r>
                <w:rPr>
                  <w:rFonts w:ascii="Cambria Math" w:hAnsi="Cambria Math"/>
                </w:rPr>
                <m:t>2</m:t>
              </m:r>
            </m:sup>
          </m:sSup>
        </m:oMath>
      </m:oMathPara>
    </w:p>
    <w:p w14:paraId="7D93C95A" w14:textId="77777777" w:rsidR="0001604F" w:rsidRDefault="00000000">
      <w:pPr>
        <w:pStyle w:val="FirstParagraph"/>
      </w:pPr>
      <w:r>
        <w:t>(2.34)</w:t>
      </w:r>
    </w:p>
    <w:p w14:paraId="29A07F34" w14:textId="77777777" w:rsidR="0001604F" w:rsidRDefault="00000000">
      <w:pPr>
        <w:pStyle w:val="BodyText"/>
      </w:pPr>
      <m:oMathPara>
        <m:oMathParaPr>
          <m:jc m:val="center"/>
        </m:oMathParaPr>
        <m:oMath>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F</m:t>
                      </m:r>
                    </m:e>
                    <m:sup>
                      <m:r>
                        <m:rPr>
                          <m:sty m:val="p"/>
                        </m:rPr>
                        <w:rPr>
                          <w:rFonts w:ascii="Cambria Math" w:hAnsi="Cambria Math"/>
                        </w:rPr>
                        <m:t>*</m:t>
                      </m:r>
                    </m:sup>
                  </m:sSup>
                </m:sup>
              </m:sSubSup>
            </m:e>
          </m:d>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f</m:t>
                  </m:r>
                </m:sup>
              </m:sSup>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f</m:t>
                      </m:r>
                    </m:sup>
                  </m:sSup>
                </m:e>
              </m:d>
            </m:e>
            <m:sup>
              <m:r>
                <w:rPr>
                  <w:rFonts w:ascii="Cambria Math" w:hAnsi="Cambria Math"/>
                </w:rPr>
                <m:t>2</m:t>
              </m:r>
            </m:sup>
          </m:sSup>
        </m:oMath>
      </m:oMathPara>
    </w:p>
    <w:p w14:paraId="0D3CAAF6" w14:textId="77777777" w:rsidR="0001604F" w:rsidRDefault="00000000">
      <w:pPr>
        <w:pStyle w:val="FirstParagraph"/>
      </w:pPr>
      <w:r>
        <w:t>(2.35)</w:t>
      </w:r>
    </w:p>
    <w:p w14:paraId="6B775444" w14:textId="03498442" w:rsidR="0001604F" w:rsidRDefault="00000000">
      <w:pPr>
        <w:pStyle w:val="BodyText"/>
      </w:pPr>
      <w:r>
        <w:t>Нөхцөл (2.33) бөөний зээл, хадгаламжийн хүүний зөрүүг хөшүүргийн түвшинтэй холбоно. Эх загвараас ялгаатай нь баруун гар талд хоёр дахь гишүүн нэмэгдэж байгаа нь гадаад зээлийн байрлал өөрөө зээлийн нийлүүлэлтийн ахиуц зардалд нөлөөлж эхэлснийг харуулна. Өөрөөр хэлбэл</w:t>
      </w:r>
      <w:r w:rsidR="007A2FF5">
        <w:t>,</w:t>
      </w:r>
      <w:r>
        <w:t xml:space="preserve"> банк зээлээ нэмэгдүүлэхэд өөрийн хөрөнгийн харьцаа буурахаас гадна гадаад зээлийн харьцаа өөрчлөгдөх тул хоёр төрлийн зардал зэрэг үүснэ.</w:t>
      </w:r>
    </w:p>
    <w:p w14:paraId="5BE897AF" w14:textId="091AFA5F" w:rsidR="0001604F" w:rsidRDefault="00000000">
      <w:pPr>
        <w:pStyle w:val="BodyText"/>
      </w:pPr>
      <w:r>
        <w:t xml:space="preserve">Нөхцөл (2.34) гадаад зээлийн шийдвэрийг тодорхойлно. Зүүн гар талд ханшийн өөрчлөлтөөр залруулсан гадаад санхүүжилтийн өртөг, баруун гар талд дотоодын бодлогын хүү болон гадаад зээллэгийн портфелийн зардал байна. Тэнцвэрт төлөвт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бөгөөд </w:t>
      </w:r>
      <m:oMath>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f</m:t>
            </m:r>
          </m:sup>
        </m:sSup>
      </m:oMath>
      <w:r>
        <w:t xml:space="preserve"> байх тул зохицуулалтын зардал алга болж, нөхцөл нь хүүний паритетын энгийн хэлбэрт шилжинэ.</w:t>
      </w:r>
    </w:p>
    <w:p w14:paraId="050FEC78" w14:textId="77777777" w:rsidR="0001604F" w:rsidRDefault="00000000">
      <w:pPr>
        <w:pStyle w:val="BodyText"/>
      </w:pPr>
      <w:r>
        <w:t>Нөхцөл (2.35) гадаад валютын хадгаламжийн шийдвэрийг тодорхойлох бөгөөд гадаад валютын хоёр эх үүсвэрийн харьцангуй өртгийг холбоно. Гадаад валютын хадгаламжийн хэмжээг өөрчлөхөд төлөх зардал байхгүй бол хоёр эх үүсвэрийн ахиуц өртөг тэнцүү байх ёстой. Гадаад валютын хадгаламжийн өртгийг загварт хэрхэн зангидахыг 2.5 хэсэгт авч үзнэ.</w:t>
      </w:r>
    </w:p>
    <w:p w14:paraId="4EEF6D8B" w14:textId="77777777" w:rsidR="0001604F" w:rsidRDefault="00000000">
      <w:pPr>
        <w:pStyle w:val="BodyText"/>
      </w:pPr>
      <w:r>
        <w:t>Банкны нийт ашиг гурван нэгжийн цэвэр орлогын нийлбэрээр тодорхойлогдоно. Бүлэг доторх гүйлгээг хассаны дараа бодит утгаараа дараах хэлбэртэй болно.</w:t>
      </w:r>
    </w:p>
    <w:p w14:paraId="524A3EF1" w14:textId="77777777" w:rsidR="0001604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bH</m:t>
              </m:r>
            </m:sup>
          </m:sSubSup>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bE</m:t>
              </m:r>
            </m:sup>
          </m:sSubSup>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F</m:t>
                  </m:r>
                </m:e>
                <m:sup>
                  <m:r>
                    <m:rPr>
                      <m:sty m:val="p"/>
                    </m:rPr>
                    <w:rPr>
                      <w:rFonts w:ascii="Cambria Math" w:hAnsi="Cambria Math"/>
                    </w:rPr>
                    <m:t>*</m:t>
                  </m:r>
                </m:sup>
              </m:sSup>
            </m:sup>
          </m:sSubSup>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Kb</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b</m:t>
                      </m:r>
                    </m:sup>
                  </m:sSup>
                </m:e>
              </m:d>
            </m:e>
            <m:sup>
              <m:r>
                <w:rPr>
                  <w:rFonts w:ascii="Cambria Math" w:hAnsi="Cambria Math"/>
                </w:rPr>
                <m:t>2</m:t>
              </m:r>
            </m:sup>
          </m:sSup>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f</m:t>
                      </m:r>
                    </m:sup>
                  </m:sSup>
                </m:e>
              </m:d>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Ad</m:t>
          </m:r>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B</m:t>
              </m:r>
            </m:sup>
          </m:sSubSup>
        </m:oMath>
      </m:oMathPara>
    </w:p>
    <w:p w14:paraId="055D8E67" w14:textId="77777777" w:rsidR="0001604F" w:rsidRDefault="00000000">
      <w:pPr>
        <w:pStyle w:val="FirstParagraph"/>
      </w:pPr>
      <w:r>
        <w:t>(2.36)</w:t>
      </w:r>
    </w:p>
    <w:p w14:paraId="712CB9A4" w14:textId="0965D9E7" w:rsidR="0001604F" w:rsidRDefault="00000000">
      <w:pPr>
        <w:pStyle w:val="BodyText"/>
      </w:pPr>
      <w:r>
        <w:t xml:space="preserve">Энд </w:t>
      </w:r>
      <m:oMath>
        <m:r>
          <w:rPr>
            <w:rFonts w:ascii="Cambria Math" w:hAnsi="Cambria Math"/>
          </w:rPr>
          <m:t>Ad</m:t>
        </m:r>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B</m:t>
            </m:r>
          </m:sup>
        </m:sSubSup>
      </m:oMath>
      <w:r>
        <w:t xml:space="preserve"> зээл, хадгаламжийн хүүг өөрчлөхөд гарах зохицуулалтын зардлыг илэрхийлнэ. Эх загвартай харьцуулахад гадаад валютын хадгаламж, гадаад зээлийн хүүний зардал нэмэгдэж байгаа тул ханшийн сулрал банкны ашгийг шууд бууруулна.</w:t>
      </w:r>
    </w:p>
    <w:p w14:paraId="5BDAB992" w14:textId="77777777" w:rsidR="0001604F" w:rsidRDefault="00000000">
      <w:pPr>
        <w:pStyle w:val="BodyText"/>
      </w:pPr>
      <w:r>
        <w:t>Банкны өөрийн хөрөнгө хуримтлагдсан ашгаас бүрдэнэ.</w:t>
      </w:r>
    </w:p>
    <w:p w14:paraId="710DEC94" w14:textId="77777777" w:rsidR="0001604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b</m:t>
                  </m:r>
                </m:sup>
              </m:sSup>
            </m:e>
          </m:d>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m:t>
                  </m:r>
                </m:sup>
              </m:sSubSup>
            </m:num>
            <m:den>
              <m:sSub>
                <m:sSubPr>
                  <m:ctrlPr>
                    <w:rPr>
                      <w:rFonts w:ascii="Cambria Math" w:hAnsi="Cambria Math"/>
                    </w:rPr>
                  </m:ctrlPr>
                </m:sSubPr>
                <m:e>
                  <m:r>
                    <w:rPr>
                      <w:rFonts w:ascii="Cambria Math" w:hAnsi="Cambria Math"/>
                    </w:rPr>
                    <m:t>π</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j</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m:t>
                  </m:r>
                </m:sup>
              </m:sSubSup>
            </m:num>
            <m:den>
              <m:sSub>
                <m:sSubPr>
                  <m:ctrlPr>
                    <w:rPr>
                      <w:rFonts w:ascii="Cambria Math" w:hAnsi="Cambria Math"/>
                    </w:rPr>
                  </m:ctrlPr>
                </m:sSubPr>
                <m:e>
                  <m:r>
                    <w:rPr>
                      <w:rFonts w:ascii="Cambria Math" w:hAnsi="Cambria Math"/>
                    </w:rPr>
                    <m:t>π</m:t>
                  </m:r>
                </m:e>
                <m:sub>
                  <m:r>
                    <w:rPr>
                      <w:rFonts w:ascii="Cambria Math" w:hAnsi="Cambria Math"/>
                    </w:rPr>
                    <m:t>t</m:t>
                  </m:r>
                </m:sub>
              </m:sSub>
            </m:den>
          </m:f>
        </m:oMath>
      </m:oMathPara>
    </w:p>
    <w:p w14:paraId="3E39E21A" w14:textId="77777777" w:rsidR="0001604F" w:rsidRDefault="00000000">
      <w:pPr>
        <w:pStyle w:val="FirstParagraph"/>
      </w:pPr>
      <w:r>
        <w:t>(2.37)</w:t>
      </w:r>
    </w:p>
    <w:p w14:paraId="4DA3CE7F" w14:textId="77777777" w:rsidR="0001604F" w:rsidRDefault="00000000">
      <w:pPr>
        <w:pStyle w:val="BodyText"/>
      </w:pPr>
      <w:r>
        <w:t xml:space="preserve">Энд </w:t>
      </w:r>
      <m:oMath>
        <m:sSup>
          <m:sSupPr>
            <m:ctrlPr>
              <w:rPr>
                <w:rFonts w:ascii="Cambria Math" w:hAnsi="Cambria Math"/>
              </w:rPr>
            </m:ctrlPr>
          </m:sSupPr>
          <m:e>
            <m:r>
              <w:rPr>
                <w:rFonts w:ascii="Cambria Math" w:hAnsi="Cambria Math"/>
              </w:rPr>
              <m:t>δ</m:t>
            </m:r>
          </m:e>
          <m:sup>
            <m:r>
              <w:rPr>
                <w:rFonts w:ascii="Cambria Math" w:hAnsi="Cambria Math"/>
              </w:rPr>
              <m:t>b</m:t>
            </m:r>
          </m:sup>
        </m:sSup>
      </m:oMath>
      <w:r>
        <w:t xml:space="preserve"> өөрийн хөрөнгийн байрлалыг удирдахад зарцуулагдах нөөцийг хэмжинэ. Ийнхүү банкны ашиг буурах нь дараагийн үед өөрийн хөрөнгийг бууруулж, (2.33) нөхцлөөр дамжин зээлийн зөрүүг өргөсгөх тул бодит болон санхүүгийн секторын хооронд эргэх холбоо үүснэ. Энэ бүлгийн өргөтгөлд ханшийн хөдөлгөөн уг эргэх холбоог өдөөх шинэ суваг болно.</w:t>
      </w:r>
    </w:p>
    <w:p w14:paraId="2035A9D1" w14:textId="77777777" w:rsidR="0001604F" w:rsidRDefault="00000000">
      <w:pPr>
        <w:pStyle w:val="Heading2"/>
      </w:pPr>
      <w:bookmarkStart w:id="3" w:name="зээлийн-салбар"/>
      <w:bookmarkEnd w:id="2"/>
      <w:r>
        <w:t>2.4.3 Зээлийн салбар</w:t>
      </w:r>
    </w:p>
    <w:p w14:paraId="45C07BEF" w14:textId="77777777" w:rsidR="0001604F" w:rsidRDefault="00000000">
      <w:pPr>
        <w:pStyle w:val="FirstParagraph"/>
      </w:pPr>
      <w:r>
        <w:t xml:space="preserve">Жижиглэнгийн зээлийн салбар бөөний нэгжээс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m:t>
            </m:r>
          </m:sup>
        </m:sSubSup>
      </m:oMath>
      <w:r>
        <w:t xml:space="preserve"> хүүтэйгээр бөөний зээл авч, зардалгүйгээр ялгаварлаад өрх, аж ахуй эрхлэгчид өөр өөр нэмэгдүүлэлтээр борлуулна. Хүүгээ өөрчлөхөд салбар </w:t>
      </w:r>
      <m:oMath>
        <m:sSub>
          <m:sSubPr>
            <m:ctrlPr>
              <w:rPr>
                <w:rFonts w:ascii="Cambria Math" w:hAnsi="Cambria Math"/>
              </w:rPr>
            </m:ctrlPr>
          </m:sSubPr>
          <m:e>
            <m:r>
              <w:rPr>
                <w:rFonts w:ascii="Cambria Math" w:hAnsi="Cambria Math"/>
              </w:rPr>
              <m:t>κ</m:t>
            </m:r>
          </m:e>
          <m:sub>
            <m:r>
              <w:rPr>
                <w:rFonts w:ascii="Cambria Math" w:hAnsi="Cambria Math"/>
              </w:rPr>
              <m:t>bH</m:t>
            </m:r>
          </m:sub>
        </m:sSub>
      </m:oMath>
      <w:r>
        <w:t xml:space="preserve">, </w:t>
      </w:r>
      <m:oMath>
        <m:sSub>
          <m:sSubPr>
            <m:ctrlPr>
              <w:rPr>
                <w:rFonts w:ascii="Cambria Math" w:hAnsi="Cambria Math"/>
              </w:rPr>
            </m:ctrlPr>
          </m:sSubPr>
          <m:e>
            <m:r>
              <w:rPr>
                <w:rFonts w:ascii="Cambria Math" w:hAnsi="Cambria Math"/>
              </w:rPr>
              <m:t>κ</m:t>
            </m:r>
          </m:e>
          <m:sub>
            <m:r>
              <w:rPr>
                <w:rFonts w:ascii="Cambria Math" w:hAnsi="Cambria Math"/>
              </w:rPr>
              <m:t>bE</m:t>
            </m:r>
          </m:sub>
        </m:sSub>
      </m:oMath>
      <w:r>
        <w:t xml:space="preserve"> параметрээр тодорхойлогдох квадрат зохицуулалтын зардал үүрэх бөгөөд уг зардал зээлийн нийт өгөөжид пропорциональ байна. Эрэлтийн нөхцөл (2.28)-д захирагдан ашгаа максимумчилснаар симметр тэнцвэрт </w:t>
      </w:r>
      <m:oMath>
        <m:r>
          <w:rPr>
            <w:rFonts w:ascii="Cambria Math" w:hAnsi="Cambria Math"/>
          </w:rPr>
          <m:t>s</m:t>
        </m:r>
        <m:r>
          <m:rPr>
            <m:sty m:val="p"/>
          </m:rPr>
          <w:rPr>
            <w:rFonts w:ascii="Cambria Math" w:hAnsi="Cambria Math"/>
          </w:rPr>
          <m:t>∈{</m:t>
        </m:r>
        <m:r>
          <w:rPr>
            <w:rFonts w:ascii="Cambria Math" w:hAnsi="Cambria Math"/>
          </w:rPr>
          <m:t>bH</m:t>
        </m:r>
        <m:r>
          <m:rPr>
            <m:sty m:val="p"/>
          </m:rPr>
          <w:rPr>
            <w:rFonts w:ascii="Cambria Math" w:hAnsi="Cambria Math"/>
          </w:rPr>
          <m:t>,</m:t>
        </m:r>
        <m:r>
          <w:rPr>
            <w:rFonts w:ascii="Cambria Math" w:hAnsi="Cambria Math"/>
          </w:rPr>
          <m:t>bE</m:t>
        </m:r>
        <m:r>
          <m:rPr>
            <m:sty m:val="p"/>
          </m:rPr>
          <w:rPr>
            <w:rFonts w:ascii="Cambria Math" w:hAnsi="Cambria Math"/>
          </w:rPr>
          <m:t>}</m:t>
        </m:r>
      </m:oMath>
      <w:r>
        <w:t xml:space="preserve"> төрөл тус бүрд дараах нөхцөл гарна.</w:t>
      </w:r>
    </w:p>
    <w:p w14:paraId="045F64D5" w14:textId="77777777" w:rsidR="0001604F" w:rsidRDefault="00000000">
      <w:pPr>
        <w:pStyle w:val="BodyText"/>
      </w:pPr>
      <m:oMathPara>
        <m:oMathParaPr>
          <m:jc m:val="center"/>
        </m:oMathParaP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bs</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bs</m:t>
              </m:r>
            </m:sup>
          </m:sSubSup>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m:t>
                  </m:r>
                </m:sup>
              </m:sSubSup>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bs</m:t>
                  </m:r>
                </m:sup>
              </m:sSubSup>
            </m:den>
          </m:f>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bs</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bs</m:t>
                      </m:r>
                    </m:sup>
                  </m:sSubSup>
                </m:num>
                <m:den>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bs</m:t>
                      </m:r>
                    </m:sup>
                  </m:sSubSup>
                </m:den>
              </m:f>
              <m:r>
                <m:rPr>
                  <m:sty m:val="p"/>
                </m:rPr>
                <w:rPr>
                  <w:rFonts w:ascii="Cambria Math" w:hAnsi="Cambria Math"/>
                </w:rPr>
                <m:t>-</m:t>
              </m:r>
              <m:r>
                <w:rPr>
                  <w:rFonts w:ascii="Cambria Math" w:hAnsi="Cambria Math"/>
                </w:rPr>
                <m:t>1</m:t>
              </m:r>
            </m:e>
          </m:d>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bs</m:t>
                  </m:r>
                </m:sup>
              </m:sSubSup>
            </m:num>
            <m:den>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bs</m:t>
                  </m:r>
                </m:sup>
              </m:sSubSup>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P</m:t>
                      </m:r>
                    </m:sup>
                  </m:sSubSup>
                </m:num>
                <m:den>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P</m:t>
                      </m:r>
                    </m:sup>
                  </m:sSubSup>
                </m:den>
              </m:f>
              <m:sSub>
                <m:sSubPr>
                  <m:ctrlPr>
                    <w:rPr>
                      <w:rFonts w:ascii="Cambria Math" w:hAnsi="Cambria Math"/>
                    </w:rPr>
                  </m:ctrlPr>
                </m:sSubPr>
                <m:e>
                  <m:r>
                    <w:rPr>
                      <w:rFonts w:ascii="Cambria Math" w:hAnsi="Cambria Math"/>
                    </w:rPr>
                    <m:t>κ</m:t>
                  </m:r>
                </m:e>
                <m:sub>
                  <m:r>
                    <w:rPr>
                      <w:rFonts w:ascii="Cambria Math" w:hAnsi="Cambria Math"/>
                    </w:rPr>
                    <m:t>bs</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bs</m:t>
                          </m:r>
                        </m:sup>
                      </m:sSubSup>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bs</m:t>
                          </m:r>
                        </m:sup>
                      </m:sSubSup>
                    </m:den>
                  </m:f>
                  <m:r>
                    <m:rPr>
                      <m:sty m:val="p"/>
                    </m:rPr>
                    <w:rPr>
                      <w:rFonts w:ascii="Cambria Math" w:hAnsi="Cambria Math"/>
                    </w:rPr>
                    <m:t>-</m:t>
                  </m:r>
                  <m:r>
                    <w:rPr>
                      <w:rFonts w:ascii="Cambria Math" w:hAnsi="Cambria Math"/>
                    </w:rPr>
                    <m:t>1</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bs</m:t>
                              </m:r>
                            </m:sup>
                          </m:sSubSup>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bs</m:t>
                              </m:r>
                            </m:sup>
                          </m:sSubSup>
                        </m:den>
                      </m:f>
                    </m:e>
                  </m:d>
                </m:e>
                <m:sup>
                  <m:r>
                    <w:rPr>
                      <w:rFonts w:ascii="Cambria Math" w:hAnsi="Cambria Math"/>
                    </w:rPr>
                    <m:t>2</m:t>
                  </m:r>
                </m:sup>
              </m:sSup>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s</m:t>
                      </m:r>
                    </m:sup>
                  </m:sSubSup>
                </m:num>
                <m:den>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s</m:t>
                      </m:r>
                    </m:sup>
                  </m:sSubSup>
                </m:den>
              </m:f>
            </m:e>
          </m:d>
          <m:r>
            <m:rPr>
              <m:sty m:val="p"/>
            </m:rPr>
            <w:rPr>
              <w:rFonts w:ascii="Cambria Math" w:hAnsi="Cambria Math"/>
            </w:rPr>
            <m:t>=</m:t>
          </m:r>
          <m:r>
            <w:rPr>
              <w:rFonts w:ascii="Cambria Math" w:hAnsi="Cambria Math"/>
            </w:rPr>
            <m:t>0</m:t>
          </m:r>
        </m:oMath>
      </m:oMathPara>
    </w:p>
    <w:p w14:paraId="5AABED29" w14:textId="77777777" w:rsidR="0001604F" w:rsidRDefault="00000000">
      <w:pPr>
        <w:pStyle w:val="FirstParagraph"/>
      </w:pPr>
      <w:r>
        <w:t>(2.38)</w:t>
      </w:r>
    </w:p>
    <w:p w14:paraId="10B61710" w14:textId="53969DB5" w:rsidR="0001604F" w:rsidRDefault="00000000">
      <w:pPr>
        <w:pStyle w:val="BodyText"/>
      </w:pPr>
      <w:r>
        <w:t>Уг нөхцлийг урагш нь тайлснаар зээлийн хүү нэмэгдүүлэлтийн шокийн болон бөөний хүүний одоогийн ба хүлээгдэж буй утгуудаас хамаарч тогтдог нь харагдана. Бөөний хүү энэ төрлийн банкны ахиуц зардлыг илэрхийлэх бөгөөд (2.33) нөхц</w:t>
      </w:r>
      <w:r w:rsidR="00A412AF">
        <w:t>ө</w:t>
      </w:r>
      <w:r>
        <w:t>лөөр дамжин бодлогын хүү, банкны өөрийн хөрөнгийн байрлал, мөн энэ бүлгийн өргөтгөлд гадаад зээлийн байрлалаас хамаарна. Бөөний хүүний өөрчлөлтөд үзүүлэх хариу үйлдэл зохицуулалтын зардлын хүчтэй урвуу, харин тогтвортой төлөвийн өрсөлдөөний зэрэгтэй шууд хамааралтай байна. Хүү уян</w:t>
      </w:r>
      <w:r w:rsidR="002446C2">
        <w:t xml:space="preserve"> хатан нөхцө</w:t>
      </w:r>
      <w:r>
        <w:t>лд зээлийн хүү бөөний хүүн дээр тогтмол нэмэгдүүлэлт хийсэн хэлбэртэй болно.</w:t>
      </w:r>
    </w:p>
    <w:p w14:paraId="349F7A22" w14:textId="77777777" w:rsidR="0001604F" w:rsidRDefault="00000000">
      <w:pPr>
        <w:pStyle w:val="Heading2"/>
      </w:pPr>
      <w:bookmarkStart w:id="4" w:name="хадгаламжийн-салбар"/>
      <w:bookmarkEnd w:id="3"/>
      <w:r>
        <w:lastRenderedPageBreak/>
        <w:t>2.4.4 Хадгаламжийн салбар</w:t>
      </w:r>
    </w:p>
    <w:p w14:paraId="651D4277" w14:textId="1622BB51" w:rsidR="0001604F" w:rsidRDefault="00000000">
      <w:pPr>
        <w:pStyle w:val="FirstParagraph"/>
      </w:pPr>
      <w:r>
        <w:t>Жижиглэнгийн хадгаламжийн салбар өрхөөс хадгаламж татаж, бөөний нэгжид шилжүүлэн</w:t>
      </w:r>
      <w:r w:rsidR="003F7324">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хүү авна. Энэ бүлгийн өргөтгөлөөр салбар дотоодын валютын хадгаламжаас гадна гадаад валютын хадгаламж татах бөгөөд сүүлийнх нь бөөний нэгжид </w:t>
      </w:r>
      <m:oMath>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oMath>
      <w:r>
        <w:t xml:space="preserve"> хүүгээр шилжинэ. Хоёр төрлийн хадгаламжийн хүүг өөрчлөхөд </w:t>
      </w:r>
      <m:oMath>
        <m:sSub>
          <m:sSubPr>
            <m:ctrlPr>
              <w:rPr>
                <w:rFonts w:ascii="Cambria Math" w:hAnsi="Cambria Math"/>
              </w:rPr>
            </m:ctrlPr>
          </m:sSubPr>
          <m:e>
            <m:r>
              <w:rPr>
                <w:rFonts w:ascii="Cambria Math" w:hAnsi="Cambria Math"/>
              </w:rPr>
              <m:t>κ</m:t>
            </m:r>
          </m:e>
          <m:sub>
            <m:r>
              <w:rPr>
                <w:rFonts w:ascii="Cambria Math" w:hAnsi="Cambria Math"/>
              </w:rPr>
              <m:t>d</m:t>
            </m:r>
          </m:sub>
        </m:sSub>
      </m:oMath>
      <w:r>
        <w:t xml:space="preserve">, </w:t>
      </w:r>
      <m:oMath>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oMath>
      <w:r>
        <w:t xml:space="preserve"> параметрээр тодорхойлогдох квадрат зохицуулалтын зардал үүснэ. Салбарын асуудал эрэлтийн нөхцөл (2.29), (2.30)-д захирагдан дараах ашгийг максимумчлах явдал болно.</w:t>
      </w:r>
    </w:p>
    <w:p w14:paraId="2E8BC073" w14:textId="1474ACB7" w:rsidR="0001604F"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
                <m:dPr>
                  <m:ctrlPr>
                    <w:rPr>
                      <w:rFonts w:ascii="Cambria Math" w:hAnsi="Cambria Math"/>
                    </w:rPr>
                  </m:ctrlPr>
                </m:dPr>
                <m:e>
                  <m:r>
                    <w:rPr>
                      <w:rFonts w:ascii="Cambria Math" w:hAnsi="Cambria Math"/>
                    </w:rPr>
                    <m:t>j</m:t>
                  </m:r>
                </m:e>
              </m:d>
              <m:r>
                <m:rPr>
                  <m:sty m:val="p"/>
                </m:rPr>
                <w:rPr>
                  <w:rFonts w:ascii="Cambria Math" w:hAnsi="Cambria Math"/>
                </w:rPr>
                <m:t>}</m:t>
              </m:r>
            </m:lim>
          </m:limLow>
          <m:sSub>
            <m:sSubPr>
              <m:ctrlPr>
                <w:rPr>
                  <w:rFonts w:ascii="Cambria Math" w:hAnsi="Cambria Math"/>
                </w:rPr>
              </m:ctrlPr>
            </m:sSubPr>
            <m:e>
              <m:r>
                <w:rPr>
                  <w:rFonts w:ascii="Cambria Math" w:hAnsi="Cambria Math"/>
                </w:rPr>
                <m:t>E</m:t>
              </m:r>
            </m:e>
            <m:sub>
              <m:r>
                <w:rPr>
                  <w:rFonts w:ascii="Cambria Math" w:hAnsi="Cambria Math"/>
                </w:rPr>
                <m:t>0</m:t>
              </m:r>
            </m:sub>
          </m:sSub>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Λ</m:t>
                  </m:r>
                </m:e>
                <m:sub>
                  <m:r>
                    <w:rPr>
                      <w:rFonts w:ascii="Cambria Math" w:hAnsi="Cambria Math"/>
                    </w:rPr>
                    <m:t>0</m:t>
                  </m:r>
                  <m:r>
                    <m:rPr>
                      <m:sty m:val="p"/>
                    </m:rPr>
                    <w:rPr>
                      <w:rFonts w:ascii="Cambria Math" w:hAnsi="Cambria Math"/>
                    </w:rPr>
                    <m:t>,</m:t>
                  </m:r>
                  <m:r>
                    <w:rPr>
                      <w:rFonts w:ascii="Cambria Math" w:hAnsi="Cambria Math"/>
                    </w:rPr>
                    <m:t>t</m:t>
                  </m:r>
                </m:sub>
                <m:sup>
                  <m:r>
                    <w:rPr>
                      <w:rFonts w:ascii="Cambria Math" w:hAnsi="Cambria Math"/>
                    </w:rPr>
                    <m:t>P</m:t>
                  </m:r>
                </m:sup>
              </m:sSubSup>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r>
                    <w:rPr>
                      <w:rFonts w:ascii="Cambria Math" w:hAnsi="Cambria Math"/>
                    </w:rPr>
                    <m:t>j</m:t>
                  </m:r>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d>
                <m:dPr>
                  <m:ctrlPr>
                    <w:rPr>
                      <w:rFonts w:ascii="Cambria Math" w:hAnsi="Cambria Math"/>
                    </w:rPr>
                  </m:ctrlPr>
                </m:dPr>
                <m:e>
                  <m:r>
                    <w:rPr>
                      <w:rFonts w:ascii="Cambria Math" w:hAnsi="Cambria Math"/>
                    </w:rPr>
                    <m:t>j</m:t>
                  </m:r>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d>
                <m:dPr>
                  <m:ctrlPr>
                    <w:rPr>
                      <w:rFonts w:ascii="Cambria Math" w:hAnsi="Cambria Math"/>
                    </w:rPr>
                  </m:ctrlPr>
                </m:dPr>
                <m:e>
                  <m:r>
                    <w:rPr>
                      <w:rFonts w:ascii="Cambria Math" w:hAnsi="Cambria Math"/>
                    </w:rPr>
                    <m:t>j</m:t>
                  </m:r>
                </m:e>
              </m:d>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P</m:t>
                  </m:r>
                </m:sup>
              </m:sSubSup>
              <m:d>
                <m:dPr>
                  <m:ctrlPr>
                    <w:rPr>
                      <w:rFonts w:ascii="Cambria Math" w:hAnsi="Cambria Math"/>
                    </w:rPr>
                  </m:ctrlPr>
                </m:dPr>
                <m:e>
                  <m:r>
                    <w:rPr>
                      <w:rFonts w:ascii="Cambria Math" w:hAnsi="Cambria Math"/>
                    </w:rPr>
                    <m:t>j</m:t>
                  </m:r>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
                <m:dPr>
                  <m:ctrlPr>
                    <w:rPr>
                      <w:rFonts w:ascii="Cambria Math" w:hAnsi="Cambria Math"/>
                    </w:rPr>
                  </m:ctrlPr>
                </m:dPr>
                <m:e>
                  <m:r>
                    <w:rPr>
                      <w:rFonts w:ascii="Cambria Math" w:hAnsi="Cambria Math"/>
                    </w:rPr>
                    <m:t>j</m:t>
                  </m:r>
                </m:e>
              </m:d>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sSup>
                    <m:sSupPr>
                      <m:ctrlPr>
                        <w:rPr>
                          <w:rFonts w:ascii="Cambria Math" w:hAnsi="Cambria Math"/>
                        </w:rPr>
                      </m:ctrlPr>
                    </m:sSupPr>
                    <m:e>
                      <m:r>
                        <w:rPr>
                          <w:rFonts w:ascii="Cambria Math" w:hAnsi="Cambria Math"/>
                        </w:rPr>
                        <m:t>P</m:t>
                      </m:r>
                    </m:e>
                    <m:sup>
                      <m:r>
                        <m:rPr>
                          <m:sty m:val="p"/>
                        </m:rPr>
                        <w:rPr>
                          <w:rFonts w:ascii="Cambria Math" w:hAnsi="Cambria Math"/>
                        </w:rPr>
                        <m:t>*</m:t>
                      </m:r>
                    </m:sup>
                  </m:sSup>
                </m:sup>
              </m:sSubSup>
              <m:d>
                <m:dPr>
                  <m:ctrlPr>
                    <w:rPr>
                      <w:rFonts w:ascii="Cambria Math" w:hAnsi="Cambria Math"/>
                    </w:rPr>
                  </m:ctrlPr>
                </m:dPr>
                <m:e>
                  <m:r>
                    <w:rPr>
                      <w:rFonts w:ascii="Cambria Math" w:hAnsi="Cambria Math"/>
                    </w:rPr>
                    <m:t>j</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d</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d>
                            <m:dPr>
                              <m:ctrlPr>
                                <w:rPr>
                                  <w:rFonts w:ascii="Cambria Math" w:hAnsi="Cambria Math"/>
                                </w:rPr>
                              </m:ctrlPr>
                            </m:dPr>
                            <m:e>
                              <m:r>
                                <w:rPr>
                                  <w:rFonts w:ascii="Cambria Math" w:hAnsi="Cambria Math"/>
                                </w:rPr>
                                <m:t>j</m:t>
                              </m:r>
                            </m:e>
                          </m:d>
                        </m:num>
                        <m:den>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d</m:t>
                              </m:r>
                            </m:sup>
                          </m:sSubSup>
                          <m:d>
                            <m:dPr>
                              <m:ctrlPr>
                                <w:rPr>
                                  <w:rFonts w:ascii="Cambria Math" w:hAnsi="Cambria Math"/>
                                </w:rPr>
                              </m:ctrlPr>
                            </m:dPr>
                            <m:e>
                              <m:r>
                                <w:rPr>
                                  <w:rFonts w:ascii="Cambria Math" w:hAnsi="Cambria Math"/>
                                </w:rPr>
                                <m:t>j</m:t>
                              </m:r>
                            </m:e>
                          </m:d>
                        </m:den>
                      </m:f>
                      <m:r>
                        <m:rPr>
                          <m:sty m:val="p"/>
                        </m:rPr>
                        <w:rPr>
                          <w:rFonts w:ascii="Cambria Math" w:hAnsi="Cambria Math"/>
                        </w:rPr>
                        <m:t>-</m:t>
                      </m:r>
                      <m:r>
                        <w:rPr>
                          <w:rFonts w:ascii="Cambria Math" w:hAnsi="Cambria Math"/>
                        </w:rPr>
                        <m:t>1</m:t>
                      </m:r>
                    </m:e>
                  </m:d>
                </m:e>
                <m:sup>
                  <m:r>
                    <w:rPr>
                      <w:rFonts w:ascii="Cambria Math" w:hAnsi="Cambria Math"/>
                    </w:rPr>
                    <m:t>2</m:t>
                  </m:r>
                </m:sup>
              </m:sSup>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
                            <m:dPr>
                              <m:ctrlPr>
                                <w:rPr>
                                  <w:rFonts w:ascii="Cambria Math" w:hAnsi="Cambria Math"/>
                                </w:rPr>
                              </m:ctrlPr>
                            </m:dPr>
                            <m:e>
                              <m:r>
                                <w:rPr>
                                  <w:rFonts w:ascii="Cambria Math" w:hAnsi="Cambria Math"/>
                                </w:rPr>
                                <m:t>j</m:t>
                              </m:r>
                            </m:e>
                          </m:d>
                        </m:num>
                        <m:den>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
                            <m:dPr>
                              <m:ctrlPr>
                                <w:rPr>
                                  <w:rFonts w:ascii="Cambria Math" w:hAnsi="Cambria Math"/>
                                </w:rPr>
                              </m:ctrlPr>
                            </m:dPr>
                            <m:e>
                              <m:r>
                                <w:rPr>
                                  <w:rFonts w:ascii="Cambria Math" w:hAnsi="Cambria Math"/>
                                </w:rPr>
                                <m:t>j</m:t>
                              </m:r>
                            </m:e>
                          </m:d>
                        </m:den>
                      </m:f>
                      <m:r>
                        <m:rPr>
                          <m:sty m:val="p"/>
                        </m:rPr>
                        <w:rPr>
                          <w:rFonts w:ascii="Cambria Math" w:hAnsi="Cambria Math"/>
                        </w:rPr>
                        <m:t>-</m:t>
                      </m:r>
                      <m:r>
                        <w:rPr>
                          <w:rFonts w:ascii="Cambria Math" w:hAnsi="Cambria Math"/>
                        </w:rPr>
                        <m:t>1</m:t>
                      </m:r>
                    </m:e>
                  </m:d>
                </m:e>
                <m:sup>
                  <m:r>
                    <w:rPr>
                      <w:rFonts w:ascii="Cambria Math" w:hAnsi="Cambria Math"/>
                    </w:rPr>
                    <m:t>2</m:t>
                  </m:r>
                </m:sup>
              </m:sSup>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e>
          </m:d>
        </m:oMath>
      </m:oMathPara>
    </w:p>
    <w:p w14:paraId="4262C0DD" w14:textId="77777777" w:rsidR="0001604F" w:rsidRDefault="00000000">
      <w:pPr>
        <w:pStyle w:val="FirstParagraph"/>
      </w:pPr>
      <w:r>
        <w:t>(2.39)</w:t>
      </w:r>
    </w:p>
    <w:p w14:paraId="618DA3E4" w14:textId="77777777" w:rsidR="0001604F" w:rsidRDefault="00000000">
      <w:pPr>
        <w:pStyle w:val="BodyText"/>
      </w:pPr>
      <w:r>
        <w:t>Дотоодын валютын хадгаламжийн хүүний нөхцөл эх загварынхтай ижил байна.</w:t>
      </w:r>
    </w:p>
    <w:p w14:paraId="11D55838" w14:textId="2D6E4063" w:rsidR="0001604F"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d</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d</m:t>
              </m:r>
            </m:sup>
          </m:sSubSup>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den>
          </m:f>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d</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num>
                <m:den>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d</m:t>
                      </m:r>
                    </m:sup>
                  </m:sSubSup>
                </m:den>
              </m:f>
              <m:r>
                <m:rPr>
                  <m:sty m:val="p"/>
                </m:rPr>
                <w:rPr>
                  <w:rFonts w:ascii="Cambria Math" w:hAnsi="Cambria Math"/>
                </w:rPr>
                <m:t>-</m:t>
              </m:r>
              <m:r>
                <w:rPr>
                  <w:rFonts w:ascii="Cambria Math" w:hAnsi="Cambria Math"/>
                </w:rPr>
                <m:t>1</m:t>
              </m:r>
            </m:e>
          </m:d>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num>
            <m:den>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d</m:t>
                  </m:r>
                </m:sup>
              </m:sSubSup>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P</m:t>
                      </m:r>
                    </m:sup>
                  </m:sSubSup>
                </m:num>
                <m:den>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P</m:t>
                      </m:r>
                    </m:sup>
                  </m:sSubSup>
                </m:den>
              </m:f>
              <m:sSub>
                <m:sSubPr>
                  <m:ctrlPr>
                    <w:rPr>
                      <w:rFonts w:ascii="Cambria Math" w:hAnsi="Cambria Math"/>
                    </w:rPr>
                  </m:ctrlPr>
                </m:sSubPr>
                <m:e>
                  <m:r>
                    <w:rPr>
                      <w:rFonts w:ascii="Cambria Math" w:hAnsi="Cambria Math"/>
                    </w:rPr>
                    <m:t>κ</m:t>
                  </m:r>
                </m:e>
                <m:sub>
                  <m:r>
                    <w:rPr>
                      <w:rFonts w:ascii="Cambria Math" w:hAnsi="Cambria Math"/>
                    </w:rPr>
                    <m:t>d</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d</m:t>
                          </m:r>
                        </m:sup>
                      </m:sSubSup>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den>
                  </m:f>
                  <m:r>
                    <m:rPr>
                      <m:sty m:val="p"/>
                    </m:rPr>
                    <w:rPr>
                      <w:rFonts w:ascii="Cambria Math" w:hAnsi="Cambria Math"/>
                    </w:rPr>
                    <m:t>-</m:t>
                  </m:r>
                  <m:r>
                    <w:rPr>
                      <w:rFonts w:ascii="Cambria Math" w:hAnsi="Cambria Math"/>
                    </w:rPr>
                    <m:t>1</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d</m:t>
                              </m:r>
                            </m:sup>
                          </m:sSubSup>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den>
                      </m:f>
                    </m:e>
                  </m:d>
                </m:e>
                <m:sup>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d</m:t>
                      </m:r>
                    </m:e>
                    <m:sub>
                      <m:r>
                        <w:rPr>
                          <w:rFonts w:ascii="Cambria Math" w:hAnsi="Cambria Math"/>
                        </w:rPr>
                        <m:t>t</m:t>
                      </m:r>
                    </m:sub>
                  </m:sSub>
                </m:den>
              </m:f>
            </m:e>
          </m:d>
          <m:r>
            <m:rPr>
              <m:sty m:val="p"/>
            </m:rPr>
            <w:rPr>
              <w:rFonts w:ascii="Cambria Math" w:hAnsi="Cambria Math"/>
            </w:rPr>
            <m:t>=</m:t>
          </m:r>
          <m:r>
            <w:rPr>
              <w:rFonts w:ascii="Cambria Math" w:hAnsi="Cambria Math"/>
            </w:rPr>
            <m:t>0</m:t>
          </m:r>
        </m:oMath>
      </m:oMathPara>
    </w:p>
    <w:p w14:paraId="40A60F85" w14:textId="77777777" w:rsidR="0001604F" w:rsidRDefault="00000000">
      <w:pPr>
        <w:pStyle w:val="FirstParagraph"/>
      </w:pPr>
      <w:r>
        <w:t>(2.40)</w:t>
      </w:r>
    </w:p>
    <w:p w14:paraId="3DAE3D7B" w14:textId="77777777" w:rsidR="0001604F" w:rsidRDefault="00000000">
      <w:pPr>
        <w:pStyle w:val="BodyText"/>
      </w:pPr>
      <w:r>
        <w:t xml:space="preserve">Гадаад валютын хадгаламжийн хүүний нөхцөл загварт шинээр нэмэгдэнэ. Эрэлтийн функц (2.30)-ыг зорилгын функцэд орлуулж, </w:t>
      </w:r>
      <m:oMath>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
          <m:dPr>
            <m:ctrlPr>
              <w:rPr>
                <w:rFonts w:ascii="Cambria Math" w:hAnsi="Cambria Math"/>
              </w:rPr>
            </m:ctrlPr>
          </m:dPr>
          <m:e>
            <m:r>
              <w:rPr>
                <w:rFonts w:ascii="Cambria Math" w:hAnsi="Cambria Math"/>
              </w:rPr>
              <m:t>j</m:t>
            </m:r>
          </m:e>
        </m:d>
      </m:oMath>
      <w:r>
        <w:t xml:space="preserve">-ээр уламжлал авахад ханшийн одоогийн утга хоёр талаас хураагдана. Симметр тэнцвэр тавьж, </w:t>
      </w:r>
      <m:oMath>
        <m:sSubSup>
          <m:sSubSupPr>
            <m:ctrlPr>
              <w:rPr>
                <w:rFonts w:ascii="Cambria Math" w:hAnsi="Cambria Math"/>
              </w:rPr>
            </m:ctrlPr>
          </m:sSubSupPr>
          <m:e>
            <m:r>
              <w:rPr>
                <w:rFonts w:ascii="Cambria Math" w:hAnsi="Cambria Math"/>
              </w:rPr>
              <m:t>Λ</m:t>
            </m:r>
          </m:e>
          <m:sub>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0</m:t>
            </m:r>
            <m:r>
              <m:rPr>
                <m:sty m:val="p"/>
              </m:rPr>
              <w:rPr>
                <w:rFonts w:ascii="Cambria Math" w:hAnsi="Cambria Math"/>
              </w:rPr>
              <m:t>,</m:t>
            </m:r>
            <m:r>
              <w:rPr>
                <w:rFonts w:ascii="Cambria Math" w:hAnsi="Cambria Math"/>
              </w:rPr>
              <m:t>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Sup>
          <m:sSubSupPr>
            <m:ctrlPr>
              <w:rPr>
                <w:rFonts w:ascii="Cambria Math" w:hAnsi="Cambria Math"/>
              </w:rPr>
            </m:ctrlPr>
          </m:sSubSup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P</m:t>
            </m:r>
          </m:sup>
        </m:sSubSup>
      </m:oMath>
      <w:r>
        <w:t xml:space="preserve"> гэдгийг ашиглан </w:t>
      </w:r>
      <m:oMath>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oMath>
      <w:r>
        <w:t>-д хуваасны дараа дараах нөхцөл гарна.</w:t>
      </w:r>
    </w:p>
    <w:p w14:paraId="60795B31" w14:textId="77777777" w:rsidR="0001604F"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num>
            <m:den>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en>
          </m:f>
          <m:r>
            <m:rPr>
              <m:sty m:val="p"/>
            </m:rPr>
            <w:rPr>
              <w:rFonts w:ascii="Cambria Math" w:hAnsi="Cambria Math"/>
            </w:rPr>
            <m:t>-</m:t>
          </m:r>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num>
                <m:den>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en>
              </m:f>
              <m:r>
                <m:rPr>
                  <m:sty m:val="p"/>
                </m:rPr>
                <w:rPr>
                  <w:rFonts w:ascii="Cambria Math" w:hAnsi="Cambria Math"/>
                </w:rPr>
                <m:t>-</m:t>
              </m:r>
              <m:r>
                <w:rPr>
                  <w:rFonts w:ascii="Cambria Math" w:hAnsi="Cambria Math"/>
                </w:rPr>
                <m:t>1</m:t>
              </m:r>
            </m:e>
          </m:d>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num>
            <m:den>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P</m:t>
                      </m:r>
                    </m:sup>
                  </m:sSubSup>
                </m:num>
                <m:den>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P</m:t>
                      </m:r>
                    </m:sup>
                  </m:sSubSup>
                </m:den>
              </m:f>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t</m:t>
                      </m:r>
                    </m:sub>
                  </m:sSub>
                </m:den>
              </m:f>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num>
                    <m:den>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en>
                  </m:f>
                  <m:r>
                    <m:rPr>
                      <m:sty m:val="p"/>
                    </m:rPr>
                    <w:rPr>
                      <w:rFonts w:ascii="Cambria Math" w:hAnsi="Cambria Math"/>
                    </w:rPr>
                    <m:t>-</m:t>
                  </m:r>
                  <m:r>
                    <w:rPr>
                      <w:rFonts w:ascii="Cambria Math" w:hAnsi="Cambria Math"/>
                    </w:rPr>
                    <m:t>1</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num>
                        <m:den>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den>
                      </m:f>
                    </m:e>
                  </m:d>
                </m:e>
                <m:sup>
                  <m:r>
                    <w:rPr>
                      <w:rFonts w:ascii="Cambria Math" w:hAnsi="Cambria Math"/>
                    </w:rPr>
                    <m:t>2</m:t>
                  </m:r>
                </m:sup>
              </m:sSup>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den>
              </m:f>
            </m:e>
          </m:d>
          <m:r>
            <m:rPr>
              <m:sty m:val="p"/>
            </m:rPr>
            <w:rPr>
              <w:rFonts w:ascii="Cambria Math" w:hAnsi="Cambria Math"/>
            </w:rPr>
            <m:t>=</m:t>
          </m:r>
          <m:r>
            <w:rPr>
              <w:rFonts w:ascii="Cambria Math" w:hAnsi="Cambria Math"/>
            </w:rPr>
            <m:t>0</m:t>
          </m:r>
        </m:oMath>
      </m:oMathPara>
    </w:p>
    <w:p w14:paraId="2AAC59E4" w14:textId="77777777" w:rsidR="0001604F" w:rsidRDefault="00000000">
      <w:pPr>
        <w:pStyle w:val="FirstParagraph"/>
      </w:pPr>
      <w:r>
        <w:t>(2.41)</w:t>
      </w:r>
    </w:p>
    <w:p w14:paraId="310159AB" w14:textId="233E6A93" w:rsidR="0001604F" w:rsidRDefault="00000000">
      <w:pPr>
        <w:pStyle w:val="BodyText"/>
      </w:pPr>
      <w:r>
        <w:t>Нөхцөл (2.41) нь бүтцийн хувьд дотоодын хадгаламжийн нөхцөл (2.40)-ыг давтах боловч гурван ялгаатай тал агуулна. Нэгдүгээрт, ахиуц зардлын үүргийг бодлогын хү</w:t>
      </w:r>
      <w:r w:rsidR="00A63A3E">
        <w:rPr>
          <w:lang w:val="mn-MN"/>
        </w:rPr>
        <w:t>үгийн</w:t>
      </w:r>
      <w:r>
        <w:t xml:space="preserve"> оронд бөөний нэгжийн гадаад валютын санхүүжилтийн өртөг </w:t>
      </w:r>
      <m:oMath>
        <m:sSubSup>
          <m:sSubSupPr>
            <m:ctrlPr>
              <w:rPr>
                <w:rFonts w:ascii="Cambria Math" w:hAnsi="Cambria Math"/>
              </w:rPr>
            </m:ctrlPr>
          </m:sSubSupPr>
          <m:e>
            <m:r>
              <w:rPr>
                <w:rFonts w:ascii="Cambria Math" w:hAnsi="Cambria Math"/>
              </w:rPr>
              <m:t>R</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oMath>
      <w:r>
        <w:t xml:space="preserve"> гүйцэтгэнэ. Хоёрдугаарт, ирээдүйн зохицуулалтын зардлын гишүүнд ханшийн харьцаа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хадгалагдана. Гуравдугаарт, </w:t>
      </w:r>
      <w:r w:rsidR="00A63A3E">
        <w:t>мэдрэмж</w:t>
      </w:r>
      <w:r>
        <w:t xml:space="preserve"> </w:t>
      </w:r>
      <m:oMath>
        <m:sSubSup>
          <m:sSubSupPr>
            <m:ctrlPr>
              <w:rPr>
                <w:rFonts w:ascii="Cambria Math" w:hAnsi="Cambria Math"/>
              </w:rPr>
            </m:ctrlPr>
          </m:sSubSupPr>
          <m:e>
            <m:r>
              <w:rPr>
                <w:rFonts w:ascii="Cambria Math" w:hAnsi="Cambria Math"/>
              </w:rPr>
              <m:t>ε</m:t>
            </m:r>
          </m:e>
          <m:sub>
            <m:r>
              <w:rPr>
                <w:rFonts w:ascii="Cambria Math" w:hAnsi="Cambria Math"/>
              </w:rPr>
              <m:t>t</m:t>
            </m:r>
          </m:sub>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oMath>
      <w:r>
        <w:t xml:space="preserve"> нь дотоодынхоос тусдаа стохастик процесс дагана. Тогтвортой төлөвт зохицуулалтын зардал алга болж, нөхцөл нь </w:t>
      </w:r>
      <m:oMath>
        <m:sSup>
          <m:sSupPr>
            <m:ctrlPr>
              <w:rPr>
                <w:rFonts w:ascii="Cambria Math" w:hAnsi="Cambria Math"/>
              </w:rPr>
            </m:ctrlPr>
          </m:sSupPr>
          <m:e>
            <m:r>
              <w:rPr>
                <w:rFonts w:ascii="Cambria Math" w:hAnsi="Cambria Math"/>
              </w:rPr>
              <m:t>r</m:t>
            </m:r>
          </m:e>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p>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ε</m:t>
                </m:r>
              </m:e>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ε</m:t>
                    </m:r>
                  </m:e>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p>
                <m:r>
                  <m:rPr>
                    <m:sty m:val="p"/>
                  </m:rPr>
                  <w:rPr>
                    <w:rFonts w:ascii="Cambria Math" w:hAnsi="Cambria Math"/>
                  </w:rPr>
                  <m:t>-</m:t>
                </m:r>
                <m:r>
                  <w:rPr>
                    <w:rFonts w:ascii="Cambria Math" w:hAnsi="Cambria Math"/>
                  </w:rPr>
                  <m:t>1</m:t>
                </m:r>
              </m:e>
            </m:d>
          </m:e>
        </m:d>
        <m:sSup>
          <m:sSupPr>
            <m:ctrlPr>
              <w:rPr>
                <w:rFonts w:ascii="Cambria Math" w:hAnsi="Cambria Math"/>
              </w:rPr>
            </m:ctrlPr>
          </m:sSupPr>
          <m:e>
            <m:r>
              <w:rPr>
                <w:rFonts w:ascii="Cambria Math" w:hAnsi="Cambria Math"/>
              </w:rPr>
              <m:t>R</m:t>
            </m:r>
          </m:e>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p>
      </m:oMath>
      <w:r>
        <w:t xml:space="preserve"> гэсэн тогтмол нэмэгдүүлэлтийн дүрэмд шилжих бөгөөд энэ нь дотоодын хадгаламжийн </w:t>
      </w:r>
      <m:oMath>
        <m:sSup>
          <m:sSupPr>
            <m:ctrlPr>
              <w:rPr>
                <w:rFonts w:ascii="Cambria Math" w:hAnsi="Cambria Math"/>
              </w:rPr>
            </m:ctrlPr>
          </m:sSupPr>
          <m:e>
            <m:r>
              <w:rPr>
                <w:rFonts w:ascii="Cambria Math" w:hAnsi="Cambria Math"/>
              </w:rPr>
              <m:t>r</m:t>
            </m:r>
          </m:e>
          <m:sup>
            <m:r>
              <w:rPr>
                <w:rFonts w:ascii="Cambria Math" w:hAnsi="Cambria Math"/>
              </w:rPr>
              <m:t>d</m:t>
            </m:r>
          </m:sup>
        </m:sSup>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ε</m:t>
                </m:r>
              </m:e>
              <m:sup>
                <m:r>
                  <w:rPr>
                    <w:rFonts w:ascii="Cambria Math" w:hAnsi="Cambria Math"/>
                  </w:rPr>
                  <m:t>d</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ε</m:t>
                    </m:r>
                  </m:e>
                  <m:sup>
                    <m:r>
                      <w:rPr>
                        <w:rFonts w:ascii="Cambria Math" w:hAnsi="Cambria Math"/>
                      </w:rPr>
                      <m:t>d</m:t>
                    </m:r>
                  </m:sup>
                </m:sSup>
                <m:r>
                  <m:rPr>
                    <m:sty m:val="p"/>
                  </m:rPr>
                  <w:rPr>
                    <w:rFonts w:ascii="Cambria Math" w:hAnsi="Cambria Math"/>
                  </w:rPr>
                  <m:t>-</m:t>
                </m:r>
                <m:r>
                  <w:rPr>
                    <w:rFonts w:ascii="Cambria Math" w:hAnsi="Cambria Math"/>
                  </w:rPr>
                  <m:t>1</m:t>
                </m:r>
              </m:e>
            </m:d>
          </m:e>
        </m:d>
        <m:sSup>
          <m:sSupPr>
            <m:ctrlPr>
              <w:rPr>
                <w:rFonts w:ascii="Cambria Math" w:hAnsi="Cambria Math"/>
              </w:rPr>
            </m:ctrlPr>
          </m:sSupPr>
          <m:e>
            <m:r>
              <w:rPr>
                <w:rFonts w:ascii="Cambria Math" w:hAnsi="Cambria Math"/>
              </w:rPr>
              <m:t>r</m:t>
            </m:r>
          </m:e>
          <m:sup>
            <m:r>
              <w:rPr>
                <w:rFonts w:ascii="Cambria Math" w:hAnsi="Cambria Math"/>
              </w:rPr>
              <m:t>ib</m:t>
            </m:r>
          </m:sup>
        </m:sSup>
      </m:oMath>
      <w:r>
        <w:t xml:space="preserve"> дүрмийн гадаад валютын хувилбар болно.</w:t>
      </w:r>
      <w:bookmarkEnd w:id="0"/>
      <w:bookmarkEnd w:id="4"/>
    </w:p>
    <w:sectPr w:rsidR="0001604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1CBCD" w14:textId="77777777" w:rsidR="00540393" w:rsidRDefault="00540393">
      <w:pPr>
        <w:spacing w:after="0"/>
      </w:pPr>
      <w:r>
        <w:separator/>
      </w:r>
    </w:p>
  </w:endnote>
  <w:endnote w:type="continuationSeparator" w:id="0">
    <w:p w14:paraId="3F2D5176" w14:textId="77777777" w:rsidR="00540393" w:rsidRDefault="005403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4683" w14:textId="77777777" w:rsidR="00540393" w:rsidRDefault="00540393">
      <w:r>
        <w:separator/>
      </w:r>
    </w:p>
  </w:footnote>
  <w:footnote w:type="continuationSeparator" w:id="0">
    <w:p w14:paraId="4E357D8D" w14:textId="77777777" w:rsidR="00540393" w:rsidRDefault="005403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36AE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4450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SwNDEzMTAyMbIwNrFQ0lEKTi0uzszPAykwrAUA15S6giwAAAA="/>
  </w:docVars>
  <w:rsids>
    <w:rsidRoot w:val="0001604F"/>
    <w:rsid w:val="0001604F"/>
    <w:rsid w:val="0010423C"/>
    <w:rsid w:val="00186998"/>
    <w:rsid w:val="00231E62"/>
    <w:rsid w:val="002446C2"/>
    <w:rsid w:val="00296569"/>
    <w:rsid w:val="003F7324"/>
    <w:rsid w:val="00484453"/>
    <w:rsid w:val="004D0552"/>
    <w:rsid w:val="00540393"/>
    <w:rsid w:val="007A2FF5"/>
    <w:rsid w:val="00961734"/>
    <w:rsid w:val="00A412AF"/>
    <w:rsid w:val="00A63A3E"/>
    <w:rsid w:val="00AF3D44"/>
    <w:rsid w:val="00B270FA"/>
    <w:rsid w:val="00D339D9"/>
    <w:rsid w:val="00EF452B"/>
    <w:rsid w:val="00F046B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BBC2"/>
  <w15:docId w15:val="{2FCEACEA-494D-46FA-8065-71FB2B0D9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 w:type="character" w:styleId="PlaceholderText">
    <w:name w:val="Placeholder Text"/>
    <w:basedOn w:val="DefaultParagraphFont"/>
    <w:rsid w:val="003F73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Pages>
  <Words>1734</Words>
  <Characters>9885</Characters>
  <Application>Microsoft Office Word</Application>
  <DocSecurity>0</DocSecurity>
  <Lines>82</Lines>
  <Paragraphs>23</Paragraphs>
  <ScaleCrop>false</ScaleCrop>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17</cp:revision>
  <dcterms:created xsi:type="dcterms:W3CDTF">2026-08-13T11:35:00Z</dcterms:created>
  <dcterms:modified xsi:type="dcterms:W3CDTF">2026-08-13T12:59:00Z</dcterms:modified>
</cp:coreProperties>
</file>