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7BD2" w14:textId="77777777" w:rsidR="00F02695" w:rsidRDefault="00000000">
      <w:pPr>
        <w:pStyle w:val="Heading3"/>
        <w:numPr>
          <w:ilvl w:val="0"/>
          <w:numId w:val="0"/>
        </w:numPr>
      </w:pPr>
      <w:bookmarkStart w:id="0" w:name="банкны-балансын-шокын-байрлал"/>
      <w:r>
        <w:t>6.2 Банкны балансын шокын байрлал</w:t>
      </w:r>
    </w:p>
    <w:p w14:paraId="0547F37F" w14:textId="65B34C62" w:rsidR="00F02695" w:rsidRDefault="00000000">
      <w:pPr>
        <w:pStyle w:val="FirstParagraph"/>
      </w:pPr>
      <w:r>
        <w:t>Эх загвараас өвлөгдсөн байрлалаар банкны балансын шок 2.31 адилтгалд орж, банкны капиталыг шууд өөрчилдөг. Энэ дэд хэсэгт түүнийг капиталын хуримтлалын хууль буюу 2.37 тэгшитгэл рүү зөөсөн бөгөөд тэгснээр шок капиталд шууд бус, өмнөх үеийн үлдэгдлээр дамжин нөлөөлнө. Хоёр</w:t>
      </w:r>
      <w:r w:rsidR="003B007B">
        <w:t xml:space="preserve"> хувилбарын хувьд</w:t>
      </w:r>
      <w:r>
        <w:t xml:space="preserve"> калибрац, прайор, өгөгдөл, гинжний тохиргоогоор ижил тул ялгааг бүхэлд нь шокын байрлалд хамааруулж болно.</w:t>
      </w:r>
    </w:p>
    <w:p w14:paraId="3454F833" w14:textId="77777777" w:rsidR="00F02695" w:rsidRDefault="00000000">
      <w:pPr>
        <w:pStyle w:val="BodyText"/>
      </w:pPr>
      <w:r>
        <w:t>Логарифм өгөгдлийн нягтрал суурь хувилбарт 1801.3, шокыг зөөсөн хувилбарт 1802.7 байна. Зөрүү нь ердөө 1.35 нэгж бөгөөд Kass, Raftery (1995) нарын хуваарьт дурдахуйц бус ангилалд орох тул өгөгдөл хоёр байрлалын хооронд сонголт хийхгүй байна.</w:t>
      </w:r>
    </w:p>
    <w:p w14:paraId="3AC284AF" w14:textId="1D152A86" w:rsidR="00F02695" w:rsidRDefault="00000000">
      <w:pPr>
        <w:pStyle w:val="BodyText"/>
      </w:pPr>
      <w:r>
        <w:t>Улсын эрсдэлийн шагналын тогтвортой байдал суурь хувилбарт 0.850, зөөсөн хувилбарт 0.865 буюу ялгаа нь зууны нэг хагас байна. Итгэлийн 90 хувийн интервал 0.133-аас 0.122 болж арай нарий</w:t>
      </w:r>
      <w:r w:rsidR="003B007B">
        <w:t>сжээ</w:t>
      </w:r>
      <w:r>
        <w:t>.</w:t>
      </w:r>
    </w:p>
    <w:p w14:paraId="53690457" w14:textId="11B5BDAA" w:rsidR="00F02695" w:rsidRDefault="00000000">
      <w:pPr>
        <w:pStyle w:val="BodyText"/>
      </w:pPr>
      <w:r>
        <w:t>Механизмын чиглэл, хугацаа хоёулаа хэвээр үлдэж, улсын эрсдэлийн шагналын шокод ханш эхний улиралд хоёуланд нь 3.06 хувиар суларна. Банкны капитал дөрөв дэх улиралд өс</w:t>
      </w:r>
      <w:r w:rsidR="003B007B">
        <w:t>өж</w:t>
      </w:r>
      <w:r>
        <w:t>, найм дахь улирлаас сөрөг болж, хорь дахь улиралд суурь хувилбарт 1.54, зөөсөн хувилбарт 1.88 хувиар буурна. Спред найм дахь улирлаас өргөсч, арван хоёр дахь улиралд оргилдоо хүр</w:t>
      </w:r>
      <w:r w:rsidR="003B007B">
        <w:t>ч байна.</w:t>
      </w:r>
    </w:p>
    <w:p w14:paraId="7ED8647A" w14:textId="77777777" w:rsidR="00F02695" w:rsidRDefault="00000000">
      <w:pPr>
        <w:pStyle w:val="BodyText"/>
      </w:pPr>
      <w:r>
        <w:t>Спредийн оргил харин мэдэгдэхүйц сулрах бөгөөд суурь хувилбарт 1.09 хувь байсан нь зөөсөн хувилбарт 0.61 хувь болж бараг хагасалж байна. Шок хуримтлалын хуульд орсноор капиталын хэлбэлзлийг өөрөө тайлбарлаж эхэлдэг тул хөшүүрэгээр дамжих зам сулрах нь загварын дотоод логикоос урган гарна.</w:t>
      </w:r>
    </w:p>
    <w:p w14:paraId="4E93AB95" w14:textId="77777777" w:rsidR="00F02695" w:rsidRDefault="00000000">
      <w:pPr>
        <w:pStyle w:val="BodyText"/>
      </w:pPr>
      <w:r>
        <w:t>Уг логикийг гурван параметр баталж байгаагийн эхнийх нь шокын тогтвортой байдал бөгөөд 0.929-өөс 0.519 болж буурахад стандарт хазайлт нь 0.144-өөс 0.325 болж хоёр дахин өсөв. Гурав дахь нь капиталын зорилтот харьцаанаас хазайх зардал бөгөөд суурь үнэлгээний 1.97-оос 0.68 болж гурав дахин буурсан нь шок өөрөө богино настай, том хэлбэлзэлтэй болсон тул капиталын байрлалыг барих зардал бага хэрэгтэй болсныг илэрхийлнэ.</w:t>
      </w:r>
    </w:p>
    <w:p w14:paraId="122A585C" w14:textId="77777777" w:rsidR="00F02695" w:rsidRDefault="00000000">
      <w:pPr>
        <w:pStyle w:val="BodyText"/>
      </w:pPr>
      <w:r>
        <w:rPr>
          <w:b/>
          <w:bCs/>
        </w:rPr>
        <w:t>Хүснэгт 13.</w:t>
      </w:r>
      <w:r>
        <w:t xml:space="preserve"> Банкны балансын шокын байрлалын нөлөө</w:t>
      </w:r>
    </w:p>
    <w:tbl>
      <w:tblPr>
        <w:tblStyle w:val="Table"/>
        <w:tblW w:w="0" w:type="auto"/>
        <w:tblLook w:val="0020" w:firstRow="1" w:lastRow="0" w:firstColumn="0" w:lastColumn="0" w:noHBand="0" w:noVBand="0"/>
      </w:tblPr>
      <w:tblGrid>
        <w:gridCol w:w="3203"/>
        <w:gridCol w:w="2621"/>
        <w:gridCol w:w="3525"/>
      </w:tblGrid>
      <w:tr w:rsidR="00F02695" w14:paraId="4457AD20" w14:textId="77777777" w:rsidTr="00F02695">
        <w:trPr>
          <w:cnfStyle w:val="100000000000" w:firstRow="1" w:lastRow="0" w:firstColumn="0" w:lastColumn="0" w:oddVBand="0" w:evenVBand="0" w:oddHBand="0" w:evenHBand="0" w:firstRowFirstColumn="0" w:firstRowLastColumn="0" w:lastRowFirstColumn="0" w:lastRowLastColumn="0"/>
          <w:tblHeader/>
        </w:trPr>
        <w:tc>
          <w:tcPr>
            <w:tcW w:w="0" w:type="auto"/>
          </w:tcPr>
          <w:p w14:paraId="7D8C841B" w14:textId="77777777" w:rsidR="00F02695" w:rsidRDefault="00F02695">
            <w:pPr>
              <w:pStyle w:val="Compact"/>
            </w:pPr>
          </w:p>
        </w:tc>
        <w:tc>
          <w:tcPr>
            <w:tcW w:w="0" w:type="auto"/>
          </w:tcPr>
          <w:p w14:paraId="12B4F2FA" w14:textId="78C4B562" w:rsidR="00F02695" w:rsidRDefault="00000000">
            <w:pPr>
              <w:pStyle w:val="Compact"/>
            </w:pPr>
            <w:r>
              <w:t>Суурь, адилтгал</w:t>
            </w:r>
            <w:r w:rsidR="00BD356D">
              <w:t xml:space="preserve"> </w:t>
            </w:r>
            <w:r w:rsidR="00BD356D" w:rsidRPr="00BD356D">
              <w:t>(тэгшитгэл 2.31</w:t>
            </w:r>
          </w:p>
        </w:tc>
        <w:tc>
          <w:tcPr>
            <w:tcW w:w="0" w:type="auto"/>
          </w:tcPr>
          <w:p w14:paraId="42DA1B57" w14:textId="0C7384FC" w:rsidR="00F02695" w:rsidRDefault="00000000">
            <w:pPr>
              <w:pStyle w:val="Compact"/>
            </w:pPr>
            <w:r>
              <w:t>Зөөсөн, хуримтлалын хууль</w:t>
            </w:r>
            <w:r w:rsidR="00BD356D">
              <w:t xml:space="preserve"> </w:t>
            </w:r>
            <w:r w:rsidR="00BD356D" w:rsidRPr="00BD356D">
              <w:t>(тэгшитгэл 2.37)</w:t>
            </w:r>
            <w:r w:rsidR="00BD356D">
              <w:t xml:space="preserve"> </w:t>
            </w:r>
          </w:p>
        </w:tc>
      </w:tr>
      <w:tr w:rsidR="00F02695" w14:paraId="1562E050" w14:textId="77777777">
        <w:tc>
          <w:tcPr>
            <w:tcW w:w="0" w:type="auto"/>
          </w:tcPr>
          <w:p w14:paraId="72997A44" w14:textId="77777777" w:rsidR="00F02695" w:rsidRDefault="00000000">
            <w:pPr>
              <w:pStyle w:val="Compact"/>
            </w:pPr>
            <w:r>
              <w:t>Логарифм өгөгдлийн нягтрал</w:t>
            </w:r>
          </w:p>
        </w:tc>
        <w:tc>
          <w:tcPr>
            <w:tcW w:w="0" w:type="auto"/>
          </w:tcPr>
          <w:p w14:paraId="04F47426" w14:textId="77777777" w:rsidR="00F02695" w:rsidRDefault="00000000">
            <w:pPr>
              <w:pStyle w:val="Compact"/>
            </w:pPr>
            <w:r>
              <w:t>1801.3</w:t>
            </w:r>
          </w:p>
        </w:tc>
        <w:tc>
          <w:tcPr>
            <w:tcW w:w="0" w:type="auto"/>
          </w:tcPr>
          <w:p w14:paraId="31188995" w14:textId="77777777" w:rsidR="00F02695" w:rsidRDefault="00000000">
            <w:pPr>
              <w:pStyle w:val="Compact"/>
            </w:pPr>
            <w:r>
              <w:t>1802.7</w:t>
            </w:r>
          </w:p>
        </w:tc>
      </w:tr>
      <w:tr w:rsidR="00F02695" w14:paraId="0E6CF84A" w14:textId="77777777">
        <w:tc>
          <w:tcPr>
            <w:tcW w:w="0" w:type="auto"/>
          </w:tcPr>
          <w:p w14:paraId="0D4425F9" w14:textId="77777777" w:rsidR="00F02695" w:rsidRDefault="00000000">
            <w:pPr>
              <w:pStyle w:val="Compact"/>
            </w:pPr>
            <w:r>
              <w:t>Эрсдэлийн шагналын тогтвортой байдал</w:t>
            </w:r>
          </w:p>
        </w:tc>
        <w:tc>
          <w:tcPr>
            <w:tcW w:w="0" w:type="auto"/>
          </w:tcPr>
          <w:p w14:paraId="0A716AD2" w14:textId="77777777" w:rsidR="00F02695" w:rsidRDefault="00000000">
            <w:pPr>
              <w:pStyle w:val="Compact"/>
            </w:pPr>
            <w:r>
              <w:t>0.850</w:t>
            </w:r>
          </w:p>
        </w:tc>
        <w:tc>
          <w:tcPr>
            <w:tcW w:w="0" w:type="auto"/>
          </w:tcPr>
          <w:p w14:paraId="3C1BB7F5" w14:textId="77777777" w:rsidR="00F02695" w:rsidRDefault="00000000">
            <w:pPr>
              <w:pStyle w:val="Compact"/>
            </w:pPr>
            <w:r>
              <w:t>0.865</w:t>
            </w:r>
          </w:p>
        </w:tc>
      </w:tr>
      <w:tr w:rsidR="00F02695" w14:paraId="2C234EBC" w14:textId="77777777">
        <w:tc>
          <w:tcPr>
            <w:tcW w:w="0" w:type="auto"/>
          </w:tcPr>
          <w:p w14:paraId="057DF0E6" w14:textId="77777777" w:rsidR="00F02695" w:rsidRDefault="00000000">
            <w:pPr>
              <w:pStyle w:val="Compact"/>
            </w:pPr>
            <w:r>
              <w:t>90 хувийн интервалын өргөн</w:t>
            </w:r>
          </w:p>
        </w:tc>
        <w:tc>
          <w:tcPr>
            <w:tcW w:w="0" w:type="auto"/>
          </w:tcPr>
          <w:p w14:paraId="4B8F5C01" w14:textId="77777777" w:rsidR="00F02695" w:rsidRDefault="00000000">
            <w:pPr>
              <w:pStyle w:val="Compact"/>
            </w:pPr>
            <w:r>
              <w:t>0.133</w:t>
            </w:r>
          </w:p>
        </w:tc>
        <w:tc>
          <w:tcPr>
            <w:tcW w:w="0" w:type="auto"/>
          </w:tcPr>
          <w:p w14:paraId="55C971E5" w14:textId="77777777" w:rsidR="00F02695" w:rsidRDefault="00000000">
            <w:pPr>
              <w:pStyle w:val="Compact"/>
            </w:pPr>
            <w:r>
              <w:t>0.122</w:t>
            </w:r>
          </w:p>
        </w:tc>
      </w:tr>
      <w:tr w:rsidR="00F02695" w14:paraId="71FF2E1B" w14:textId="77777777">
        <w:tc>
          <w:tcPr>
            <w:tcW w:w="0" w:type="auto"/>
          </w:tcPr>
          <w:p w14:paraId="61905564" w14:textId="77777777" w:rsidR="00F02695" w:rsidRDefault="00000000">
            <w:pPr>
              <w:pStyle w:val="Compact"/>
            </w:pPr>
            <w:r>
              <w:t>Ханшийн хариу үйлдэл, 1 дэх улирал</w:t>
            </w:r>
          </w:p>
        </w:tc>
        <w:tc>
          <w:tcPr>
            <w:tcW w:w="0" w:type="auto"/>
          </w:tcPr>
          <w:p w14:paraId="7928C806" w14:textId="77777777" w:rsidR="00F02695" w:rsidRDefault="00000000">
            <w:pPr>
              <w:pStyle w:val="Compact"/>
            </w:pPr>
            <w:r>
              <w:t>3.06</w:t>
            </w:r>
          </w:p>
        </w:tc>
        <w:tc>
          <w:tcPr>
            <w:tcW w:w="0" w:type="auto"/>
          </w:tcPr>
          <w:p w14:paraId="2C8E8132" w14:textId="77777777" w:rsidR="00F02695" w:rsidRDefault="00000000">
            <w:pPr>
              <w:pStyle w:val="Compact"/>
            </w:pPr>
            <w:r>
              <w:t>3.06</w:t>
            </w:r>
          </w:p>
        </w:tc>
      </w:tr>
      <w:tr w:rsidR="00F02695" w14:paraId="1361695A" w14:textId="77777777">
        <w:tc>
          <w:tcPr>
            <w:tcW w:w="0" w:type="auto"/>
          </w:tcPr>
          <w:p w14:paraId="6598C4EE" w14:textId="77777777" w:rsidR="00F02695" w:rsidRDefault="00000000">
            <w:pPr>
              <w:pStyle w:val="Compact"/>
            </w:pPr>
            <w:r>
              <w:t>Банкны капитал, 20 дахь улирал</w:t>
            </w:r>
          </w:p>
        </w:tc>
        <w:tc>
          <w:tcPr>
            <w:tcW w:w="0" w:type="auto"/>
          </w:tcPr>
          <w:p w14:paraId="30C7D9DE" w14:textId="77777777" w:rsidR="00F02695" w:rsidRDefault="00000000">
            <w:pPr>
              <w:pStyle w:val="Compact"/>
            </w:pPr>
            <w:r>
              <w:t>−1.54</w:t>
            </w:r>
          </w:p>
        </w:tc>
        <w:tc>
          <w:tcPr>
            <w:tcW w:w="0" w:type="auto"/>
          </w:tcPr>
          <w:p w14:paraId="7DFDF9B4" w14:textId="77777777" w:rsidR="00F02695" w:rsidRDefault="00000000">
            <w:pPr>
              <w:pStyle w:val="Compact"/>
            </w:pPr>
            <w:r>
              <w:t>−1.88</w:t>
            </w:r>
          </w:p>
        </w:tc>
      </w:tr>
      <w:tr w:rsidR="00F02695" w14:paraId="38B02D2A" w14:textId="77777777">
        <w:tc>
          <w:tcPr>
            <w:tcW w:w="0" w:type="auto"/>
          </w:tcPr>
          <w:p w14:paraId="1B135805" w14:textId="77777777" w:rsidR="00F02695" w:rsidRDefault="00000000">
            <w:pPr>
              <w:pStyle w:val="Compact"/>
            </w:pPr>
            <w:r>
              <w:t>Спред, 12 дахь улирал</w:t>
            </w:r>
          </w:p>
        </w:tc>
        <w:tc>
          <w:tcPr>
            <w:tcW w:w="0" w:type="auto"/>
          </w:tcPr>
          <w:p w14:paraId="502485BE" w14:textId="77777777" w:rsidR="00F02695" w:rsidRDefault="00000000">
            <w:pPr>
              <w:pStyle w:val="Compact"/>
            </w:pPr>
            <w:r>
              <w:t>1.09</w:t>
            </w:r>
          </w:p>
        </w:tc>
        <w:tc>
          <w:tcPr>
            <w:tcW w:w="0" w:type="auto"/>
          </w:tcPr>
          <w:p w14:paraId="242BA045" w14:textId="77777777" w:rsidR="00F02695" w:rsidRDefault="00000000">
            <w:pPr>
              <w:pStyle w:val="Compact"/>
            </w:pPr>
            <w:r>
              <w:t>0.61</w:t>
            </w:r>
          </w:p>
        </w:tc>
      </w:tr>
    </w:tbl>
    <w:p w14:paraId="59C183A4" w14:textId="56CFD182" w:rsidR="00F02695" w:rsidRDefault="00000000">
      <w:pPr>
        <w:pStyle w:val="BodyText"/>
      </w:pPr>
      <w:r>
        <w:t xml:space="preserve">Тэмдэглэл: Хариу үйлдлийг нэг стандарт хазайлтын улсын эрсдэлийн шагналын шокод хувиар илэрхийлэв. Хоёр </w:t>
      </w:r>
      <w:r w:rsidR="00BD356D">
        <w:t>хувилбар</w:t>
      </w:r>
      <w:r>
        <w:t xml:space="preserve"> зөвхөн банкны балансын шокын байрлалаар ялгаатай.</w:t>
      </w:r>
    </w:p>
    <w:p w14:paraId="6FE40D2E" w14:textId="77777777" w:rsidR="00F02695" w:rsidRDefault="00000000">
      <w:pPr>
        <w:pStyle w:val="BodyText"/>
      </w:pPr>
      <w:r>
        <w:t xml:space="preserve">Иймд гол үр дүн нь шокын байрлалаас хамаараагүй болно. Дамжуулалтын чиглэл, хугацаа, эрсдэлийн шагналын тогтвортой байдал гурвуулаа хэвээр үлдэж, зөвхөн спредээр дамжих сувгийн хүч суларсан байна. Өгөгдөл хоёр байрлалын хооронд ялгаа тавихгүй тул суурь хувилбарыг хадгалах нь зүйтэй. Спредийн сувгийн сулрал нь 5.4 хэсгийн </w:t>
      </w:r>
      <w:r>
        <w:lastRenderedPageBreak/>
        <w:t>долларжилтын үр дүнг хөндөхгүй, учир нь тэнд харьцуулалт хоёр долларжилтын түвшний хооронд хийгдэх бөгөөд шокын байрлал хоёуланд нь ижил байна.</w:t>
      </w:r>
      <w:bookmarkEnd w:id="0"/>
    </w:p>
    <w:sectPr w:rsidR="00F02695"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9C23F" w14:textId="77777777" w:rsidR="004F7752" w:rsidRDefault="004F7752">
      <w:pPr>
        <w:spacing w:line="240" w:lineRule="auto"/>
      </w:pPr>
      <w:r>
        <w:separator/>
      </w:r>
    </w:p>
  </w:endnote>
  <w:endnote w:type="continuationSeparator" w:id="0">
    <w:p w14:paraId="5C18FE12" w14:textId="77777777" w:rsidR="004F7752" w:rsidRDefault="004F7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50B73F3D"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2101EE6A"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1DA7404E"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345AB4E5"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ADE30" w14:textId="77777777" w:rsidR="004F7752" w:rsidRDefault="004F7752">
      <w:r>
        <w:separator/>
      </w:r>
    </w:p>
  </w:footnote>
  <w:footnote w:type="continuationSeparator" w:id="0">
    <w:p w14:paraId="17BC5BD1" w14:textId="77777777" w:rsidR="004F7752" w:rsidRDefault="004F7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109952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95"/>
    <w:rsid w:val="003B007B"/>
    <w:rsid w:val="004F7752"/>
    <w:rsid w:val="009B0003"/>
    <w:rsid w:val="00BD356D"/>
    <w:rsid w:val="00F026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2AC6"/>
  <w15:docId w15:val="{84E326A6-35BC-49AA-83A5-19991FE5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9288</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2</cp:revision>
  <dcterms:created xsi:type="dcterms:W3CDTF">2026-08-31T18:32:00Z</dcterms:created>
  <dcterms:modified xsi:type="dcterms:W3CDTF">2026-08-31T20:56:00Z</dcterms:modified>
</cp:coreProperties>
</file>