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3ED51" w14:textId="77777777" w:rsidR="001368E7" w:rsidRDefault="00000000">
      <w:pPr>
        <w:pStyle w:val="Heading1"/>
      </w:pPr>
      <w:bookmarkStart w:id="0" w:name="X41fe3499db2d21876d7448951d5162701c4ae75"/>
      <w:r>
        <w:t>Хавсралт D. Гадаад валютын хадгаламжийн зохицуулалтын зардлын оношилгоо</w:t>
      </w:r>
    </w:p>
    <w:p w14:paraId="72241B35" w14:textId="06FE2544" w:rsidR="001368E7" w:rsidRDefault="00000000">
      <w:pPr>
        <w:pStyle w:val="FirstParagraph"/>
      </w:pPr>
      <w:r>
        <w:t>5.4 хэсэгт хийсэн долларжилтын туршилтыг зохицуулалтын зардлыг тэг</w:t>
      </w:r>
      <w:r w:rsidR="00284719">
        <w:t>тэй тэнцүү гэсэн таамаглал</w:t>
      </w:r>
      <w:r>
        <w:t xml:space="preserve"> тавьж гүйцэтгэсэн бөгөөд уг сонголтын үндэслэлийг энд баримтжуул</w:t>
      </w:r>
      <w:r w:rsidR="00284719">
        <w:rPr>
          <w:lang w:val="mn-MN"/>
        </w:rPr>
        <w:t>лаа</w:t>
      </w:r>
      <w:r>
        <w:t xml:space="preserve">. Бөөний нэгжийн гадаад валютын хадгаламжийн тоо хэмжээний зохицуулалтын зардал </w:t>
      </w:r>
      <w:r w:rsidR="00284719">
        <w:t>бол</w:t>
      </w:r>
      <w:r>
        <w:t xml:space="preserve"> шийдлийн тогтвортой байдлыг хангах техникийн </w:t>
      </w:r>
      <w:r w:rsidR="00284719">
        <w:t>хэрэгсэл</w:t>
      </w:r>
      <w:r>
        <w:t xml:space="preserve"> бөгөөд эдийн засгийн үрэлтийг илэрхийлдэггүй. Ийм төхөөрөмжийг жижиг, нээлттэй эдийн засгийн загварт ашиглах нь Schmitt-Grohé, Uribe (2003) нарын ажлаас улбаатай стандарт арга юм. Уг зардал эерэг утгатай үед банкны ашгийн хариу үйлдлийг гажуудуулж, дунд хугацааны механизмын тэмдгийг эргүүлдэг болохыг энэхүү оношилгоогоор тогтоов.</w:t>
      </w:r>
    </w:p>
    <w:p w14:paraId="6E34B7D6" w14:textId="461678F9" w:rsidR="001368E7" w:rsidRDefault="001B2DA0">
      <w:pPr>
        <w:pStyle w:val="BodyText"/>
      </w:pPr>
      <w:r>
        <w:t>Долларжилтын хоёр түвшин тус бүрд зохицуулалтын зардлыг арав, нэг, тэг гэсэн гурван утгад тавьж, нийт зургаан шийдэл гарга</w:t>
      </w:r>
      <w:r>
        <w:t>сан болно</w:t>
      </w:r>
      <w:r w:rsidR="00000000">
        <w:t xml:space="preserve"> Хүснэгтэд механизмын гол зангилаа болох зургаан хувьсагчийг үзүүлсэн бөгөөд бусад хувьсагчийн хариу үйлдэл ижил чиглэлтэй байна. Бүх шийдэд Бланчард, Каны нөхцөл хангагдсан бөгөөд зохицуулалтын зардлыг тэгээр тавьсан тохиолдолд ч тогтвортой шийд олдсон болно. Үр дүнг Хүснэгт D1-д үзүүлэв.</w:t>
      </w:r>
    </w:p>
    <w:p w14:paraId="777D890C" w14:textId="0FA47C53" w:rsidR="001368E7" w:rsidRDefault="00000000">
      <w:pPr>
        <w:pStyle w:val="BodyText"/>
      </w:pPr>
      <w:r>
        <w:rPr>
          <w:b/>
          <w:bCs/>
        </w:rPr>
        <w:t>Хүснэгт D1.</w:t>
      </w:r>
      <w:r>
        <w:t xml:space="preserve"> </w:t>
      </w:r>
      <w:r w:rsidR="001B2DA0">
        <w:t xml:space="preserve">Улсын эрсдэлийн шагналын шокын </w:t>
      </w:r>
      <w:r w:rsidR="001B2DA0">
        <w:rPr>
          <w:rStyle w:val="Strong"/>
        </w:rPr>
        <w:t>хариу үйлдэлд</w:t>
      </w:r>
      <w:r w:rsidR="001B2DA0">
        <w:t xml:space="preserve"> үзүүлэх зохицуулалтын зардлын нөлөө</w:t>
      </w:r>
    </w:p>
    <w:tbl>
      <w:tblPr>
        <w:tblStyle w:val="Table"/>
        <w:tblW w:w="5000" w:type="pct"/>
        <w:tblLook w:val="0020" w:firstRow="1" w:lastRow="0" w:firstColumn="0" w:lastColumn="0" w:noHBand="0" w:noVBand="0"/>
      </w:tblPr>
      <w:tblGrid>
        <w:gridCol w:w="3014"/>
        <w:gridCol w:w="1188"/>
        <w:gridCol w:w="1062"/>
        <w:gridCol w:w="1062"/>
        <w:gridCol w:w="1126"/>
        <w:gridCol w:w="1062"/>
        <w:gridCol w:w="1062"/>
      </w:tblGrid>
      <w:tr w:rsidR="001368E7" w14:paraId="24545836" w14:textId="77777777" w:rsidTr="001368E7">
        <w:trPr>
          <w:cnfStyle w:val="100000000000" w:firstRow="1" w:lastRow="0" w:firstColumn="0" w:lastColumn="0" w:oddVBand="0" w:evenVBand="0" w:oddHBand="0" w:evenHBand="0" w:firstRowFirstColumn="0" w:firstRowLastColumn="0" w:lastRowFirstColumn="0" w:lastRowLastColumn="0"/>
          <w:tblHeader/>
        </w:trPr>
        <w:tc>
          <w:tcPr>
            <w:tcW w:w="0" w:type="auto"/>
          </w:tcPr>
          <w:p w14:paraId="25FF7863" w14:textId="77777777" w:rsidR="001368E7" w:rsidRDefault="00000000">
            <w:pPr>
              <w:pStyle w:val="Compact"/>
            </w:pPr>
            <w:r>
              <w:t>Хувьсагч</w:t>
            </w:r>
          </w:p>
        </w:tc>
        <w:tc>
          <w:tcPr>
            <w:tcW w:w="0" w:type="auto"/>
          </w:tcPr>
          <w:p w14:paraId="54BA3E83" w14:textId="77777777" w:rsidR="001368E7" w:rsidRDefault="00000000">
            <w:pPr>
              <w:pStyle w:val="Compact"/>
            </w:pPr>
            <w:r>
              <w:t>κ=10, q1</w:t>
            </w:r>
          </w:p>
        </w:tc>
        <w:tc>
          <w:tcPr>
            <w:tcW w:w="0" w:type="auto"/>
          </w:tcPr>
          <w:p w14:paraId="07FD0B8C" w14:textId="77777777" w:rsidR="001368E7" w:rsidRDefault="00000000">
            <w:pPr>
              <w:pStyle w:val="Compact"/>
            </w:pPr>
            <w:r>
              <w:t>κ=1, q1</w:t>
            </w:r>
          </w:p>
        </w:tc>
        <w:tc>
          <w:tcPr>
            <w:tcW w:w="0" w:type="auto"/>
          </w:tcPr>
          <w:p w14:paraId="11B0B92D" w14:textId="77777777" w:rsidR="001368E7" w:rsidRDefault="00000000">
            <w:pPr>
              <w:pStyle w:val="Compact"/>
            </w:pPr>
            <w:r>
              <w:t>κ=0, q1</w:t>
            </w:r>
          </w:p>
        </w:tc>
        <w:tc>
          <w:tcPr>
            <w:tcW w:w="0" w:type="auto"/>
          </w:tcPr>
          <w:p w14:paraId="43BCB97B" w14:textId="77777777" w:rsidR="001368E7" w:rsidRDefault="00000000">
            <w:pPr>
              <w:pStyle w:val="Compact"/>
            </w:pPr>
            <w:r>
              <w:t>κ=10, q8</w:t>
            </w:r>
          </w:p>
        </w:tc>
        <w:tc>
          <w:tcPr>
            <w:tcW w:w="0" w:type="auto"/>
          </w:tcPr>
          <w:p w14:paraId="3A247E1F" w14:textId="77777777" w:rsidR="001368E7" w:rsidRDefault="00000000">
            <w:pPr>
              <w:pStyle w:val="Compact"/>
            </w:pPr>
            <w:r>
              <w:t>κ=1, q8</w:t>
            </w:r>
          </w:p>
        </w:tc>
        <w:tc>
          <w:tcPr>
            <w:tcW w:w="0" w:type="auto"/>
          </w:tcPr>
          <w:p w14:paraId="25074E52" w14:textId="77777777" w:rsidR="001368E7" w:rsidRDefault="00000000">
            <w:pPr>
              <w:pStyle w:val="Compact"/>
            </w:pPr>
            <w:r>
              <w:t>κ=0, q8</w:t>
            </w:r>
          </w:p>
        </w:tc>
      </w:tr>
      <w:tr w:rsidR="001368E7" w14:paraId="71304F74" w14:textId="77777777">
        <w:tc>
          <w:tcPr>
            <w:tcW w:w="0" w:type="auto"/>
          </w:tcPr>
          <w:p w14:paraId="52C8E0D7" w14:textId="77777777" w:rsidR="001368E7" w:rsidRDefault="00000000">
            <w:pPr>
              <w:pStyle w:val="Compact"/>
            </w:pPr>
            <w:r>
              <w:rPr>
                <w:b/>
                <w:bCs/>
              </w:rPr>
              <w:t>29.7 хувийн долларжилт</w:t>
            </w:r>
          </w:p>
        </w:tc>
        <w:tc>
          <w:tcPr>
            <w:tcW w:w="0" w:type="auto"/>
          </w:tcPr>
          <w:p w14:paraId="7F666E0B" w14:textId="77777777" w:rsidR="001368E7" w:rsidRDefault="001368E7">
            <w:pPr>
              <w:pStyle w:val="Compact"/>
            </w:pPr>
          </w:p>
        </w:tc>
        <w:tc>
          <w:tcPr>
            <w:tcW w:w="0" w:type="auto"/>
          </w:tcPr>
          <w:p w14:paraId="1798A950" w14:textId="77777777" w:rsidR="001368E7" w:rsidRDefault="001368E7">
            <w:pPr>
              <w:pStyle w:val="Compact"/>
            </w:pPr>
          </w:p>
        </w:tc>
        <w:tc>
          <w:tcPr>
            <w:tcW w:w="0" w:type="auto"/>
          </w:tcPr>
          <w:p w14:paraId="56A42BB7" w14:textId="77777777" w:rsidR="001368E7" w:rsidRDefault="001368E7">
            <w:pPr>
              <w:pStyle w:val="Compact"/>
            </w:pPr>
          </w:p>
        </w:tc>
        <w:tc>
          <w:tcPr>
            <w:tcW w:w="0" w:type="auto"/>
          </w:tcPr>
          <w:p w14:paraId="732DFA85" w14:textId="77777777" w:rsidR="001368E7" w:rsidRDefault="001368E7">
            <w:pPr>
              <w:pStyle w:val="Compact"/>
            </w:pPr>
          </w:p>
        </w:tc>
        <w:tc>
          <w:tcPr>
            <w:tcW w:w="0" w:type="auto"/>
          </w:tcPr>
          <w:p w14:paraId="45F0C7DD" w14:textId="77777777" w:rsidR="001368E7" w:rsidRDefault="001368E7">
            <w:pPr>
              <w:pStyle w:val="Compact"/>
            </w:pPr>
          </w:p>
        </w:tc>
        <w:tc>
          <w:tcPr>
            <w:tcW w:w="0" w:type="auto"/>
          </w:tcPr>
          <w:p w14:paraId="41303364" w14:textId="77777777" w:rsidR="001368E7" w:rsidRDefault="001368E7">
            <w:pPr>
              <w:pStyle w:val="Compact"/>
            </w:pPr>
          </w:p>
        </w:tc>
      </w:tr>
      <w:tr w:rsidR="001368E7" w14:paraId="7F7FA223" w14:textId="77777777">
        <w:tc>
          <w:tcPr>
            <w:tcW w:w="0" w:type="auto"/>
          </w:tcPr>
          <w:p w14:paraId="656503F5" w14:textId="77777777" w:rsidR="001368E7" w:rsidRDefault="00000000">
            <w:pPr>
              <w:pStyle w:val="Compact"/>
            </w:pPr>
            <w:r>
              <w:t>ГВ хадгаламжийн өртөг</w:t>
            </w:r>
          </w:p>
        </w:tc>
        <w:tc>
          <w:tcPr>
            <w:tcW w:w="0" w:type="auto"/>
          </w:tcPr>
          <w:p w14:paraId="6F55C0B7" w14:textId="77777777" w:rsidR="001368E7" w:rsidRDefault="00000000">
            <w:pPr>
              <w:pStyle w:val="Compact"/>
            </w:pPr>
            <w:r>
              <w:t>−10.3450</w:t>
            </w:r>
          </w:p>
        </w:tc>
        <w:tc>
          <w:tcPr>
            <w:tcW w:w="0" w:type="auto"/>
          </w:tcPr>
          <w:p w14:paraId="47CF3034" w14:textId="77777777" w:rsidR="001368E7" w:rsidRDefault="00000000">
            <w:pPr>
              <w:pStyle w:val="Compact"/>
            </w:pPr>
            <w:r>
              <w:t>−1.2033</w:t>
            </w:r>
          </w:p>
        </w:tc>
        <w:tc>
          <w:tcPr>
            <w:tcW w:w="0" w:type="auto"/>
          </w:tcPr>
          <w:p w14:paraId="72792151" w14:textId="77777777" w:rsidR="001368E7" w:rsidRDefault="00000000">
            <w:pPr>
              <w:pStyle w:val="Compact"/>
            </w:pPr>
            <w:r>
              <w:t>0.8120</w:t>
            </w:r>
          </w:p>
        </w:tc>
        <w:tc>
          <w:tcPr>
            <w:tcW w:w="0" w:type="auto"/>
          </w:tcPr>
          <w:p w14:paraId="2C0005E1" w14:textId="77777777" w:rsidR="001368E7" w:rsidRDefault="00000000">
            <w:pPr>
              <w:pStyle w:val="Compact"/>
            </w:pPr>
            <w:r>
              <w:t>0.3214</w:t>
            </w:r>
          </w:p>
        </w:tc>
        <w:tc>
          <w:tcPr>
            <w:tcW w:w="0" w:type="auto"/>
          </w:tcPr>
          <w:p w14:paraId="17EE607B" w14:textId="77777777" w:rsidR="001368E7" w:rsidRDefault="00000000">
            <w:pPr>
              <w:pStyle w:val="Compact"/>
            </w:pPr>
            <w:r>
              <w:t>0.2744</w:t>
            </w:r>
          </w:p>
        </w:tc>
        <w:tc>
          <w:tcPr>
            <w:tcW w:w="0" w:type="auto"/>
          </w:tcPr>
          <w:p w14:paraId="2EF81D0F" w14:textId="77777777" w:rsidR="001368E7" w:rsidRDefault="00000000">
            <w:pPr>
              <w:pStyle w:val="Compact"/>
            </w:pPr>
            <w:r>
              <w:t>0.2592</w:t>
            </w:r>
          </w:p>
        </w:tc>
      </w:tr>
      <w:tr w:rsidR="001368E7" w14:paraId="7F3E795D" w14:textId="77777777">
        <w:tc>
          <w:tcPr>
            <w:tcW w:w="0" w:type="auto"/>
          </w:tcPr>
          <w:p w14:paraId="5E7C02D0" w14:textId="77777777" w:rsidR="001368E7" w:rsidRDefault="00000000">
            <w:pPr>
              <w:pStyle w:val="Compact"/>
            </w:pPr>
            <w:r>
              <w:t>Банкны ашиг</w:t>
            </w:r>
          </w:p>
        </w:tc>
        <w:tc>
          <w:tcPr>
            <w:tcW w:w="0" w:type="auto"/>
          </w:tcPr>
          <w:p w14:paraId="5684C731" w14:textId="77777777" w:rsidR="001368E7" w:rsidRDefault="00000000">
            <w:pPr>
              <w:pStyle w:val="Compact"/>
            </w:pPr>
            <w:r>
              <w:t>0.1258</w:t>
            </w:r>
          </w:p>
        </w:tc>
        <w:tc>
          <w:tcPr>
            <w:tcW w:w="0" w:type="auto"/>
          </w:tcPr>
          <w:p w14:paraId="3EDA96A4" w14:textId="77777777" w:rsidR="001368E7" w:rsidRDefault="00000000">
            <w:pPr>
              <w:pStyle w:val="Compact"/>
            </w:pPr>
            <w:r>
              <w:t>−0.0720</w:t>
            </w:r>
          </w:p>
        </w:tc>
        <w:tc>
          <w:tcPr>
            <w:tcW w:w="0" w:type="auto"/>
          </w:tcPr>
          <w:p w14:paraId="62D1E45F" w14:textId="77777777" w:rsidR="001368E7" w:rsidRDefault="00000000">
            <w:pPr>
              <w:pStyle w:val="Compact"/>
            </w:pPr>
            <w:r>
              <w:t>−0.1132</w:t>
            </w:r>
          </w:p>
        </w:tc>
        <w:tc>
          <w:tcPr>
            <w:tcW w:w="0" w:type="auto"/>
          </w:tcPr>
          <w:p w14:paraId="293305B4" w14:textId="77777777" w:rsidR="001368E7" w:rsidRDefault="00000000">
            <w:pPr>
              <w:pStyle w:val="Compact"/>
            </w:pPr>
            <w:r>
              <w:t>−0.0488</w:t>
            </w:r>
          </w:p>
        </w:tc>
        <w:tc>
          <w:tcPr>
            <w:tcW w:w="0" w:type="auto"/>
          </w:tcPr>
          <w:p w14:paraId="256E812A" w14:textId="77777777" w:rsidR="001368E7" w:rsidRDefault="00000000">
            <w:pPr>
              <w:pStyle w:val="Compact"/>
            </w:pPr>
            <w:r>
              <w:t>−0.0455</w:t>
            </w:r>
          </w:p>
        </w:tc>
        <w:tc>
          <w:tcPr>
            <w:tcW w:w="0" w:type="auto"/>
          </w:tcPr>
          <w:p w14:paraId="1B5DF9A2" w14:textId="77777777" w:rsidR="001368E7" w:rsidRDefault="00000000">
            <w:pPr>
              <w:pStyle w:val="Compact"/>
            </w:pPr>
            <w:r>
              <w:t>−0.0438</w:t>
            </w:r>
          </w:p>
        </w:tc>
      </w:tr>
      <w:tr w:rsidR="001368E7" w14:paraId="4311F129" w14:textId="77777777">
        <w:tc>
          <w:tcPr>
            <w:tcW w:w="0" w:type="auto"/>
          </w:tcPr>
          <w:p w14:paraId="1AC2E9DC" w14:textId="77777777" w:rsidR="001368E7" w:rsidRDefault="00000000">
            <w:pPr>
              <w:pStyle w:val="Compact"/>
            </w:pPr>
            <w:r>
              <w:t>Банкны өөрийн хөрөнгө</w:t>
            </w:r>
          </w:p>
        </w:tc>
        <w:tc>
          <w:tcPr>
            <w:tcW w:w="0" w:type="auto"/>
          </w:tcPr>
          <w:p w14:paraId="4292672D" w14:textId="77777777" w:rsidR="001368E7" w:rsidRDefault="00000000">
            <w:pPr>
              <w:pStyle w:val="Compact"/>
            </w:pPr>
            <w:r>
              <w:t>−0.0001</w:t>
            </w:r>
          </w:p>
        </w:tc>
        <w:tc>
          <w:tcPr>
            <w:tcW w:w="0" w:type="auto"/>
          </w:tcPr>
          <w:p w14:paraId="058D036A" w14:textId="77777777" w:rsidR="001368E7" w:rsidRDefault="00000000">
            <w:pPr>
              <w:pStyle w:val="Compact"/>
            </w:pPr>
            <w:r>
              <w:t>−0.0000</w:t>
            </w:r>
          </w:p>
        </w:tc>
        <w:tc>
          <w:tcPr>
            <w:tcW w:w="0" w:type="auto"/>
          </w:tcPr>
          <w:p w14:paraId="0DC8B9BA" w14:textId="77777777" w:rsidR="001368E7" w:rsidRDefault="00000000">
            <w:pPr>
              <w:pStyle w:val="Compact"/>
            </w:pPr>
            <w:r>
              <w:t>−0.0000</w:t>
            </w:r>
          </w:p>
        </w:tc>
        <w:tc>
          <w:tcPr>
            <w:tcW w:w="0" w:type="auto"/>
          </w:tcPr>
          <w:p w14:paraId="6889BB3B" w14:textId="77777777" w:rsidR="001368E7" w:rsidRDefault="00000000">
            <w:pPr>
              <w:pStyle w:val="Compact"/>
            </w:pPr>
            <w:r>
              <w:t>−0.0036</w:t>
            </w:r>
          </w:p>
        </w:tc>
        <w:tc>
          <w:tcPr>
            <w:tcW w:w="0" w:type="auto"/>
          </w:tcPr>
          <w:p w14:paraId="06E0BC26" w14:textId="77777777" w:rsidR="001368E7" w:rsidRDefault="00000000">
            <w:pPr>
              <w:pStyle w:val="Compact"/>
            </w:pPr>
            <w:r>
              <w:t>−0.0295</w:t>
            </w:r>
          </w:p>
        </w:tc>
        <w:tc>
          <w:tcPr>
            <w:tcW w:w="0" w:type="auto"/>
          </w:tcPr>
          <w:p w14:paraId="769EBEFD" w14:textId="77777777" w:rsidR="001368E7" w:rsidRDefault="00000000">
            <w:pPr>
              <w:pStyle w:val="Compact"/>
            </w:pPr>
            <w:r>
              <w:t>−0.0337</w:t>
            </w:r>
          </w:p>
        </w:tc>
      </w:tr>
      <w:tr w:rsidR="001368E7" w14:paraId="62C5541F" w14:textId="77777777">
        <w:tc>
          <w:tcPr>
            <w:tcW w:w="0" w:type="auto"/>
          </w:tcPr>
          <w:p w14:paraId="225D9879" w14:textId="77777777" w:rsidR="001368E7" w:rsidRDefault="00000000">
            <w:pPr>
              <w:pStyle w:val="Compact"/>
            </w:pPr>
            <w:r>
              <w:t>Банкны спред</w:t>
            </w:r>
          </w:p>
        </w:tc>
        <w:tc>
          <w:tcPr>
            <w:tcW w:w="0" w:type="auto"/>
          </w:tcPr>
          <w:p w14:paraId="7BAF26FB" w14:textId="77777777" w:rsidR="001368E7" w:rsidRDefault="00000000">
            <w:pPr>
              <w:pStyle w:val="Compact"/>
            </w:pPr>
            <w:r>
              <w:t>0.0006</w:t>
            </w:r>
          </w:p>
        </w:tc>
        <w:tc>
          <w:tcPr>
            <w:tcW w:w="0" w:type="auto"/>
          </w:tcPr>
          <w:p w14:paraId="097760E6" w14:textId="77777777" w:rsidR="001368E7" w:rsidRDefault="00000000">
            <w:pPr>
              <w:pStyle w:val="Compact"/>
            </w:pPr>
            <w:r>
              <w:t>0.0033</w:t>
            </w:r>
          </w:p>
        </w:tc>
        <w:tc>
          <w:tcPr>
            <w:tcW w:w="0" w:type="auto"/>
          </w:tcPr>
          <w:p w14:paraId="43CD18D1" w14:textId="77777777" w:rsidR="001368E7" w:rsidRDefault="00000000">
            <w:pPr>
              <w:pStyle w:val="Compact"/>
            </w:pPr>
            <w:r>
              <w:t>0.0038</w:t>
            </w:r>
          </w:p>
        </w:tc>
        <w:tc>
          <w:tcPr>
            <w:tcW w:w="0" w:type="auto"/>
          </w:tcPr>
          <w:p w14:paraId="2E3DEBC9" w14:textId="77777777" w:rsidR="001368E7" w:rsidRDefault="00000000">
            <w:pPr>
              <w:pStyle w:val="Compact"/>
            </w:pPr>
            <w:r>
              <w:t>0.0089</w:t>
            </w:r>
          </w:p>
        </w:tc>
        <w:tc>
          <w:tcPr>
            <w:tcW w:w="0" w:type="auto"/>
          </w:tcPr>
          <w:p w14:paraId="188B3A0A" w14:textId="77777777" w:rsidR="001368E7" w:rsidRDefault="00000000">
            <w:pPr>
              <w:pStyle w:val="Compact"/>
            </w:pPr>
            <w:r>
              <w:t>0.0223</w:t>
            </w:r>
          </w:p>
        </w:tc>
        <w:tc>
          <w:tcPr>
            <w:tcW w:w="0" w:type="auto"/>
          </w:tcPr>
          <w:p w14:paraId="303E5811" w14:textId="77777777" w:rsidR="001368E7" w:rsidRDefault="00000000">
            <w:pPr>
              <w:pStyle w:val="Compact"/>
            </w:pPr>
            <w:r>
              <w:t>0.0245</w:t>
            </w:r>
          </w:p>
        </w:tc>
      </w:tr>
      <w:tr w:rsidR="001368E7" w14:paraId="324817D5" w14:textId="77777777">
        <w:tc>
          <w:tcPr>
            <w:tcW w:w="0" w:type="auto"/>
          </w:tcPr>
          <w:p w14:paraId="47392232" w14:textId="77777777" w:rsidR="001368E7" w:rsidRDefault="00000000">
            <w:pPr>
              <w:pStyle w:val="Compact"/>
            </w:pPr>
            <w:r>
              <w:t>Зээл</w:t>
            </w:r>
          </w:p>
        </w:tc>
        <w:tc>
          <w:tcPr>
            <w:tcW w:w="0" w:type="auto"/>
          </w:tcPr>
          <w:p w14:paraId="75E1B872" w14:textId="77777777" w:rsidR="001368E7" w:rsidRDefault="00000000">
            <w:pPr>
              <w:pStyle w:val="Compact"/>
            </w:pPr>
            <w:r>
              <w:t>−0.0010</w:t>
            </w:r>
          </w:p>
        </w:tc>
        <w:tc>
          <w:tcPr>
            <w:tcW w:w="0" w:type="auto"/>
          </w:tcPr>
          <w:p w14:paraId="6F6DD6E9" w14:textId="77777777" w:rsidR="001368E7" w:rsidRDefault="00000000">
            <w:pPr>
              <w:pStyle w:val="Compact"/>
            </w:pPr>
            <w:r>
              <w:t>−0.0012</w:t>
            </w:r>
          </w:p>
        </w:tc>
        <w:tc>
          <w:tcPr>
            <w:tcW w:w="0" w:type="auto"/>
          </w:tcPr>
          <w:p w14:paraId="63DA9F41" w14:textId="77777777" w:rsidR="001368E7" w:rsidRDefault="00000000">
            <w:pPr>
              <w:pStyle w:val="Compact"/>
            </w:pPr>
            <w:r>
              <w:t>−0.0013</w:t>
            </w:r>
          </w:p>
        </w:tc>
        <w:tc>
          <w:tcPr>
            <w:tcW w:w="0" w:type="auto"/>
          </w:tcPr>
          <w:p w14:paraId="551C6F22" w14:textId="77777777" w:rsidR="001368E7" w:rsidRDefault="00000000">
            <w:pPr>
              <w:pStyle w:val="Compact"/>
            </w:pPr>
            <w:r>
              <w:t>−0.0004</w:t>
            </w:r>
          </w:p>
        </w:tc>
        <w:tc>
          <w:tcPr>
            <w:tcW w:w="0" w:type="auto"/>
          </w:tcPr>
          <w:p w14:paraId="3EE0421E" w14:textId="77777777" w:rsidR="001368E7" w:rsidRDefault="00000000">
            <w:pPr>
              <w:pStyle w:val="Compact"/>
            </w:pPr>
            <w:r>
              <w:t>−0.0019</w:t>
            </w:r>
          </w:p>
        </w:tc>
        <w:tc>
          <w:tcPr>
            <w:tcW w:w="0" w:type="auto"/>
          </w:tcPr>
          <w:p w14:paraId="3C555FC7" w14:textId="77777777" w:rsidR="001368E7" w:rsidRDefault="00000000">
            <w:pPr>
              <w:pStyle w:val="Compact"/>
            </w:pPr>
            <w:r>
              <w:t>−0.0021</w:t>
            </w:r>
          </w:p>
        </w:tc>
      </w:tr>
      <w:tr w:rsidR="001368E7" w14:paraId="63CCC50D" w14:textId="77777777">
        <w:tc>
          <w:tcPr>
            <w:tcW w:w="0" w:type="auto"/>
          </w:tcPr>
          <w:p w14:paraId="12C7053F" w14:textId="77777777" w:rsidR="001368E7" w:rsidRDefault="00000000">
            <w:pPr>
              <w:pStyle w:val="Compact"/>
            </w:pPr>
            <w:r>
              <w:t>Үйлдвэрлэл</w:t>
            </w:r>
          </w:p>
        </w:tc>
        <w:tc>
          <w:tcPr>
            <w:tcW w:w="0" w:type="auto"/>
          </w:tcPr>
          <w:p w14:paraId="78210492" w14:textId="77777777" w:rsidR="001368E7" w:rsidRDefault="00000000">
            <w:pPr>
              <w:pStyle w:val="Compact"/>
            </w:pPr>
            <w:r>
              <w:t>−0.0103</w:t>
            </w:r>
          </w:p>
        </w:tc>
        <w:tc>
          <w:tcPr>
            <w:tcW w:w="0" w:type="auto"/>
          </w:tcPr>
          <w:p w14:paraId="25B94835" w14:textId="77777777" w:rsidR="001368E7" w:rsidRDefault="00000000">
            <w:pPr>
              <w:pStyle w:val="Compact"/>
            </w:pPr>
            <w:r>
              <w:t>−0.0109</w:t>
            </w:r>
          </w:p>
        </w:tc>
        <w:tc>
          <w:tcPr>
            <w:tcW w:w="0" w:type="auto"/>
          </w:tcPr>
          <w:p w14:paraId="5013D3C6" w14:textId="77777777" w:rsidR="001368E7" w:rsidRDefault="00000000">
            <w:pPr>
              <w:pStyle w:val="Compact"/>
            </w:pPr>
            <w:r>
              <w:t>−0.0110</w:t>
            </w:r>
          </w:p>
        </w:tc>
        <w:tc>
          <w:tcPr>
            <w:tcW w:w="0" w:type="auto"/>
          </w:tcPr>
          <w:p w14:paraId="23B02773" w14:textId="77777777" w:rsidR="001368E7" w:rsidRDefault="00000000">
            <w:pPr>
              <w:pStyle w:val="Compact"/>
            </w:pPr>
            <w:r>
              <w:t>0.0005</w:t>
            </w:r>
          </w:p>
        </w:tc>
        <w:tc>
          <w:tcPr>
            <w:tcW w:w="0" w:type="auto"/>
          </w:tcPr>
          <w:p w14:paraId="37E63C6C" w14:textId="77777777" w:rsidR="001368E7" w:rsidRDefault="00000000">
            <w:pPr>
              <w:pStyle w:val="Compact"/>
            </w:pPr>
            <w:r>
              <w:t>−0.0001</w:t>
            </w:r>
          </w:p>
        </w:tc>
        <w:tc>
          <w:tcPr>
            <w:tcW w:w="0" w:type="auto"/>
          </w:tcPr>
          <w:p w14:paraId="16A8C651" w14:textId="77777777" w:rsidR="001368E7" w:rsidRDefault="00000000">
            <w:pPr>
              <w:pStyle w:val="Compact"/>
            </w:pPr>
            <w:r>
              <w:t>−0.0002</w:t>
            </w:r>
          </w:p>
        </w:tc>
      </w:tr>
      <w:tr w:rsidR="001368E7" w14:paraId="15FE4D4D" w14:textId="77777777">
        <w:tc>
          <w:tcPr>
            <w:tcW w:w="0" w:type="auto"/>
          </w:tcPr>
          <w:p w14:paraId="41B06355" w14:textId="77777777" w:rsidR="001368E7" w:rsidRDefault="00000000">
            <w:pPr>
              <w:pStyle w:val="Compact"/>
            </w:pPr>
            <w:r>
              <w:rPr>
                <w:b/>
                <w:bCs/>
              </w:rPr>
              <w:t>53.7 хувийн долларжилт</w:t>
            </w:r>
          </w:p>
        </w:tc>
        <w:tc>
          <w:tcPr>
            <w:tcW w:w="0" w:type="auto"/>
          </w:tcPr>
          <w:p w14:paraId="26DF8507" w14:textId="77777777" w:rsidR="001368E7" w:rsidRDefault="001368E7">
            <w:pPr>
              <w:pStyle w:val="Compact"/>
            </w:pPr>
          </w:p>
        </w:tc>
        <w:tc>
          <w:tcPr>
            <w:tcW w:w="0" w:type="auto"/>
          </w:tcPr>
          <w:p w14:paraId="67FF2C84" w14:textId="77777777" w:rsidR="001368E7" w:rsidRDefault="001368E7">
            <w:pPr>
              <w:pStyle w:val="Compact"/>
            </w:pPr>
          </w:p>
        </w:tc>
        <w:tc>
          <w:tcPr>
            <w:tcW w:w="0" w:type="auto"/>
          </w:tcPr>
          <w:p w14:paraId="435BAF07" w14:textId="77777777" w:rsidR="001368E7" w:rsidRDefault="001368E7">
            <w:pPr>
              <w:pStyle w:val="Compact"/>
            </w:pPr>
          </w:p>
        </w:tc>
        <w:tc>
          <w:tcPr>
            <w:tcW w:w="0" w:type="auto"/>
          </w:tcPr>
          <w:p w14:paraId="2F5668AD" w14:textId="77777777" w:rsidR="001368E7" w:rsidRDefault="001368E7">
            <w:pPr>
              <w:pStyle w:val="Compact"/>
            </w:pPr>
          </w:p>
        </w:tc>
        <w:tc>
          <w:tcPr>
            <w:tcW w:w="0" w:type="auto"/>
          </w:tcPr>
          <w:p w14:paraId="20FA731E" w14:textId="77777777" w:rsidR="001368E7" w:rsidRDefault="001368E7">
            <w:pPr>
              <w:pStyle w:val="Compact"/>
            </w:pPr>
          </w:p>
        </w:tc>
        <w:tc>
          <w:tcPr>
            <w:tcW w:w="0" w:type="auto"/>
          </w:tcPr>
          <w:p w14:paraId="431EF734" w14:textId="77777777" w:rsidR="001368E7" w:rsidRDefault="001368E7">
            <w:pPr>
              <w:pStyle w:val="Compact"/>
            </w:pPr>
          </w:p>
        </w:tc>
      </w:tr>
      <w:tr w:rsidR="001368E7" w14:paraId="4A539DFB" w14:textId="77777777">
        <w:tc>
          <w:tcPr>
            <w:tcW w:w="0" w:type="auto"/>
          </w:tcPr>
          <w:p w14:paraId="57E83A6B" w14:textId="77777777" w:rsidR="001368E7" w:rsidRDefault="00000000">
            <w:pPr>
              <w:pStyle w:val="Compact"/>
            </w:pPr>
            <w:r>
              <w:t>ГВ хадгаламжийн өртөг</w:t>
            </w:r>
          </w:p>
        </w:tc>
        <w:tc>
          <w:tcPr>
            <w:tcW w:w="0" w:type="auto"/>
          </w:tcPr>
          <w:p w14:paraId="03160499" w14:textId="77777777" w:rsidR="001368E7" w:rsidRDefault="00000000">
            <w:pPr>
              <w:pStyle w:val="Compact"/>
            </w:pPr>
            <w:r>
              <w:t>−13.4010</w:t>
            </w:r>
          </w:p>
        </w:tc>
        <w:tc>
          <w:tcPr>
            <w:tcW w:w="0" w:type="auto"/>
          </w:tcPr>
          <w:p w14:paraId="7EBB205E" w14:textId="77777777" w:rsidR="001368E7" w:rsidRDefault="00000000">
            <w:pPr>
              <w:pStyle w:val="Compact"/>
            </w:pPr>
            <w:r>
              <w:t>−2.5762</w:t>
            </w:r>
          </w:p>
        </w:tc>
        <w:tc>
          <w:tcPr>
            <w:tcW w:w="0" w:type="auto"/>
          </w:tcPr>
          <w:p w14:paraId="6BD5BE98" w14:textId="77777777" w:rsidR="001368E7" w:rsidRDefault="00000000">
            <w:pPr>
              <w:pStyle w:val="Compact"/>
            </w:pPr>
            <w:r>
              <w:t>0.8123</w:t>
            </w:r>
          </w:p>
        </w:tc>
        <w:tc>
          <w:tcPr>
            <w:tcW w:w="0" w:type="auto"/>
          </w:tcPr>
          <w:p w14:paraId="01FDB526" w14:textId="77777777" w:rsidR="001368E7" w:rsidRDefault="00000000">
            <w:pPr>
              <w:pStyle w:val="Compact"/>
            </w:pPr>
            <w:r>
              <w:t>0.3004</w:t>
            </w:r>
          </w:p>
        </w:tc>
        <w:tc>
          <w:tcPr>
            <w:tcW w:w="0" w:type="auto"/>
          </w:tcPr>
          <w:p w14:paraId="7D1B23E1" w14:textId="77777777" w:rsidR="001368E7" w:rsidRDefault="00000000">
            <w:pPr>
              <w:pStyle w:val="Compact"/>
            </w:pPr>
            <w:r>
              <w:t>0.2845</w:t>
            </w:r>
          </w:p>
        </w:tc>
        <w:tc>
          <w:tcPr>
            <w:tcW w:w="0" w:type="auto"/>
          </w:tcPr>
          <w:p w14:paraId="153C6DF9" w14:textId="77777777" w:rsidR="001368E7" w:rsidRDefault="00000000">
            <w:pPr>
              <w:pStyle w:val="Compact"/>
            </w:pPr>
            <w:r>
              <w:t>0.2592</w:t>
            </w:r>
          </w:p>
        </w:tc>
      </w:tr>
      <w:tr w:rsidR="001368E7" w14:paraId="0E35AFE8" w14:textId="77777777">
        <w:tc>
          <w:tcPr>
            <w:tcW w:w="0" w:type="auto"/>
          </w:tcPr>
          <w:p w14:paraId="04E08CB0" w14:textId="77777777" w:rsidR="001368E7" w:rsidRDefault="00000000">
            <w:pPr>
              <w:pStyle w:val="Compact"/>
            </w:pPr>
            <w:r>
              <w:t>Банкны ашиг</w:t>
            </w:r>
          </w:p>
        </w:tc>
        <w:tc>
          <w:tcPr>
            <w:tcW w:w="0" w:type="auto"/>
          </w:tcPr>
          <w:p w14:paraId="358201FF" w14:textId="77777777" w:rsidR="001368E7" w:rsidRDefault="00000000">
            <w:pPr>
              <w:pStyle w:val="Compact"/>
            </w:pPr>
            <w:r>
              <w:t>0.4190</w:t>
            </w:r>
          </w:p>
        </w:tc>
        <w:tc>
          <w:tcPr>
            <w:tcW w:w="0" w:type="auto"/>
          </w:tcPr>
          <w:p w14:paraId="5793671B" w14:textId="77777777" w:rsidR="001368E7" w:rsidRDefault="00000000">
            <w:pPr>
              <w:pStyle w:val="Compact"/>
            </w:pPr>
            <w:r>
              <w:t>−0.0172</w:t>
            </w:r>
          </w:p>
        </w:tc>
        <w:tc>
          <w:tcPr>
            <w:tcW w:w="0" w:type="auto"/>
          </w:tcPr>
          <w:p w14:paraId="4CE75DFC" w14:textId="77777777" w:rsidR="001368E7" w:rsidRDefault="00000000">
            <w:pPr>
              <w:pStyle w:val="Compact"/>
            </w:pPr>
            <w:r>
              <w:t>−0.1429</w:t>
            </w:r>
          </w:p>
        </w:tc>
        <w:tc>
          <w:tcPr>
            <w:tcW w:w="0" w:type="auto"/>
          </w:tcPr>
          <w:p w14:paraId="630D6AF4" w14:textId="77777777" w:rsidR="001368E7" w:rsidRDefault="00000000">
            <w:pPr>
              <w:pStyle w:val="Compact"/>
            </w:pPr>
            <w:r>
              <w:t>−0.0661</w:t>
            </w:r>
          </w:p>
        </w:tc>
        <w:tc>
          <w:tcPr>
            <w:tcW w:w="0" w:type="auto"/>
          </w:tcPr>
          <w:p w14:paraId="14CD0DC0" w14:textId="77777777" w:rsidR="001368E7" w:rsidRDefault="00000000">
            <w:pPr>
              <w:pStyle w:val="Compact"/>
            </w:pPr>
            <w:r>
              <w:t>−0.0704</w:t>
            </w:r>
          </w:p>
        </w:tc>
        <w:tc>
          <w:tcPr>
            <w:tcW w:w="0" w:type="auto"/>
          </w:tcPr>
          <w:p w14:paraId="199542F0" w14:textId="77777777" w:rsidR="001368E7" w:rsidRDefault="00000000">
            <w:pPr>
              <w:pStyle w:val="Compact"/>
            </w:pPr>
            <w:r>
              <w:t>−0.0656</w:t>
            </w:r>
          </w:p>
        </w:tc>
      </w:tr>
      <w:tr w:rsidR="001368E7" w14:paraId="3C4248E2" w14:textId="77777777">
        <w:tc>
          <w:tcPr>
            <w:tcW w:w="0" w:type="auto"/>
          </w:tcPr>
          <w:p w14:paraId="3CAA0C08" w14:textId="77777777" w:rsidR="001368E7" w:rsidRDefault="00000000">
            <w:pPr>
              <w:pStyle w:val="Compact"/>
            </w:pPr>
            <w:r>
              <w:t>Банкны өөрийн хөрөнгө</w:t>
            </w:r>
          </w:p>
        </w:tc>
        <w:tc>
          <w:tcPr>
            <w:tcW w:w="0" w:type="auto"/>
          </w:tcPr>
          <w:p w14:paraId="629C63F3" w14:textId="77777777" w:rsidR="001368E7" w:rsidRDefault="00000000">
            <w:pPr>
              <w:pStyle w:val="Compact"/>
            </w:pPr>
            <w:r>
              <w:t>−0.0001</w:t>
            </w:r>
          </w:p>
        </w:tc>
        <w:tc>
          <w:tcPr>
            <w:tcW w:w="0" w:type="auto"/>
          </w:tcPr>
          <w:p w14:paraId="24B34156" w14:textId="77777777" w:rsidR="001368E7" w:rsidRDefault="00000000">
            <w:pPr>
              <w:pStyle w:val="Compact"/>
            </w:pPr>
            <w:r>
              <w:t>0.0001</w:t>
            </w:r>
          </w:p>
        </w:tc>
        <w:tc>
          <w:tcPr>
            <w:tcW w:w="0" w:type="auto"/>
          </w:tcPr>
          <w:p w14:paraId="0BDE54D7" w14:textId="77777777" w:rsidR="001368E7" w:rsidRDefault="00000000">
            <w:pPr>
              <w:pStyle w:val="Compact"/>
            </w:pPr>
            <w:r>
              <w:t>0.0001</w:t>
            </w:r>
          </w:p>
        </w:tc>
        <w:tc>
          <w:tcPr>
            <w:tcW w:w="0" w:type="auto"/>
          </w:tcPr>
          <w:p w14:paraId="6B69725A" w14:textId="77777777" w:rsidR="001368E7" w:rsidRDefault="00000000">
            <w:pPr>
              <w:pStyle w:val="Compact"/>
            </w:pPr>
            <w:r>
              <w:t>0.0304</w:t>
            </w:r>
          </w:p>
        </w:tc>
        <w:tc>
          <w:tcPr>
            <w:tcW w:w="0" w:type="auto"/>
          </w:tcPr>
          <w:p w14:paraId="4754D404" w14:textId="77777777" w:rsidR="001368E7" w:rsidRDefault="00000000">
            <w:pPr>
              <w:pStyle w:val="Compact"/>
            </w:pPr>
            <w:r>
              <w:t>−0.0346</w:t>
            </w:r>
          </w:p>
        </w:tc>
        <w:tc>
          <w:tcPr>
            <w:tcW w:w="0" w:type="auto"/>
          </w:tcPr>
          <w:p w14:paraId="1C5677E5" w14:textId="77777777" w:rsidR="001368E7" w:rsidRDefault="00000000">
            <w:pPr>
              <w:pStyle w:val="Compact"/>
            </w:pPr>
            <w:r>
              <w:t>−0.0477</w:t>
            </w:r>
          </w:p>
        </w:tc>
      </w:tr>
      <w:tr w:rsidR="001368E7" w14:paraId="33C8E9FE" w14:textId="77777777">
        <w:tc>
          <w:tcPr>
            <w:tcW w:w="0" w:type="auto"/>
          </w:tcPr>
          <w:p w14:paraId="55F2E4E3" w14:textId="77777777" w:rsidR="001368E7" w:rsidRDefault="00000000">
            <w:pPr>
              <w:pStyle w:val="Compact"/>
            </w:pPr>
            <w:r>
              <w:t>Банкны спред</w:t>
            </w:r>
          </w:p>
        </w:tc>
        <w:tc>
          <w:tcPr>
            <w:tcW w:w="0" w:type="auto"/>
          </w:tcPr>
          <w:p w14:paraId="6243A9AF" w14:textId="77777777" w:rsidR="001368E7" w:rsidRDefault="00000000">
            <w:pPr>
              <w:pStyle w:val="Compact"/>
            </w:pPr>
            <w:r>
              <w:t>−0.0039</w:t>
            </w:r>
          </w:p>
        </w:tc>
        <w:tc>
          <w:tcPr>
            <w:tcW w:w="0" w:type="auto"/>
          </w:tcPr>
          <w:p w14:paraId="58D19AE1" w14:textId="77777777" w:rsidR="001368E7" w:rsidRDefault="00000000">
            <w:pPr>
              <w:pStyle w:val="Compact"/>
            </w:pPr>
            <w:r>
              <w:t>0.0022</w:t>
            </w:r>
          </w:p>
        </w:tc>
        <w:tc>
          <w:tcPr>
            <w:tcW w:w="0" w:type="auto"/>
          </w:tcPr>
          <w:p w14:paraId="7C2F90B0" w14:textId="77777777" w:rsidR="001368E7" w:rsidRDefault="00000000">
            <w:pPr>
              <w:pStyle w:val="Compact"/>
            </w:pPr>
            <w:r>
              <w:t>0.0038</w:t>
            </w:r>
          </w:p>
        </w:tc>
        <w:tc>
          <w:tcPr>
            <w:tcW w:w="0" w:type="auto"/>
          </w:tcPr>
          <w:p w14:paraId="47CE9FCE" w14:textId="77777777" w:rsidR="001368E7" w:rsidRDefault="00000000">
            <w:pPr>
              <w:pStyle w:val="Compact"/>
            </w:pPr>
            <w:r>
              <w:t>−0.0058</w:t>
            </w:r>
          </w:p>
        </w:tc>
        <w:tc>
          <w:tcPr>
            <w:tcW w:w="0" w:type="auto"/>
          </w:tcPr>
          <w:p w14:paraId="5CD58304" w14:textId="77777777" w:rsidR="001368E7" w:rsidRDefault="00000000">
            <w:pPr>
              <w:pStyle w:val="Compact"/>
            </w:pPr>
            <w:r>
              <w:t>0.0278</w:t>
            </w:r>
          </w:p>
        </w:tc>
        <w:tc>
          <w:tcPr>
            <w:tcW w:w="0" w:type="auto"/>
          </w:tcPr>
          <w:p w14:paraId="061020D9" w14:textId="77777777" w:rsidR="001368E7" w:rsidRDefault="00000000">
            <w:pPr>
              <w:pStyle w:val="Compact"/>
            </w:pPr>
            <w:r>
              <w:t>0.0346</w:t>
            </w:r>
          </w:p>
        </w:tc>
      </w:tr>
      <w:tr w:rsidR="001368E7" w14:paraId="0C85222E" w14:textId="77777777">
        <w:tc>
          <w:tcPr>
            <w:tcW w:w="0" w:type="auto"/>
          </w:tcPr>
          <w:p w14:paraId="3DC581DA" w14:textId="77777777" w:rsidR="001368E7" w:rsidRDefault="00000000">
            <w:pPr>
              <w:pStyle w:val="Compact"/>
            </w:pPr>
            <w:r>
              <w:t>Зээл</w:t>
            </w:r>
          </w:p>
        </w:tc>
        <w:tc>
          <w:tcPr>
            <w:tcW w:w="0" w:type="auto"/>
          </w:tcPr>
          <w:p w14:paraId="5D135419" w14:textId="77777777" w:rsidR="001368E7" w:rsidRDefault="00000000">
            <w:pPr>
              <w:pStyle w:val="Compact"/>
            </w:pPr>
            <w:r>
              <w:t>−0.0024</w:t>
            </w:r>
          </w:p>
        </w:tc>
        <w:tc>
          <w:tcPr>
            <w:tcW w:w="0" w:type="auto"/>
          </w:tcPr>
          <w:p w14:paraId="498E1CFF" w14:textId="77777777" w:rsidR="001368E7" w:rsidRDefault="00000000">
            <w:pPr>
              <w:pStyle w:val="Compact"/>
            </w:pPr>
            <w:r>
              <w:t>−0.0029</w:t>
            </w:r>
          </w:p>
        </w:tc>
        <w:tc>
          <w:tcPr>
            <w:tcW w:w="0" w:type="auto"/>
          </w:tcPr>
          <w:p w14:paraId="6BFB3B46" w14:textId="77777777" w:rsidR="001368E7" w:rsidRDefault="00000000">
            <w:pPr>
              <w:pStyle w:val="Compact"/>
            </w:pPr>
            <w:r>
              <w:t>−0.0030</w:t>
            </w:r>
          </w:p>
        </w:tc>
        <w:tc>
          <w:tcPr>
            <w:tcW w:w="0" w:type="auto"/>
          </w:tcPr>
          <w:p w14:paraId="201DE810" w14:textId="77777777" w:rsidR="001368E7" w:rsidRDefault="00000000">
            <w:pPr>
              <w:pStyle w:val="Compact"/>
            </w:pPr>
            <w:r>
              <w:t>0.0009</w:t>
            </w:r>
          </w:p>
        </w:tc>
        <w:tc>
          <w:tcPr>
            <w:tcW w:w="0" w:type="auto"/>
          </w:tcPr>
          <w:p w14:paraId="365C7C90" w14:textId="77777777" w:rsidR="001368E7" w:rsidRDefault="00000000">
            <w:pPr>
              <w:pStyle w:val="Compact"/>
            </w:pPr>
            <w:r>
              <w:t>−0.0026</w:t>
            </w:r>
          </w:p>
        </w:tc>
        <w:tc>
          <w:tcPr>
            <w:tcW w:w="0" w:type="auto"/>
          </w:tcPr>
          <w:p w14:paraId="1523767C" w14:textId="77777777" w:rsidR="001368E7" w:rsidRDefault="00000000">
            <w:pPr>
              <w:pStyle w:val="Compact"/>
            </w:pPr>
            <w:r>
              <w:t>−0.0033</w:t>
            </w:r>
          </w:p>
        </w:tc>
      </w:tr>
      <w:tr w:rsidR="001368E7" w14:paraId="3FD2FE93" w14:textId="77777777">
        <w:tc>
          <w:tcPr>
            <w:tcW w:w="0" w:type="auto"/>
          </w:tcPr>
          <w:p w14:paraId="6A7CFBDA" w14:textId="77777777" w:rsidR="001368E7" w:rsidRDefault="00000000">
            <w:pPr>
              <w:pStyle w:val="Compact"/>
            </w:pPr>
            <w:r>
              <w:t>Үйлдвэрлэл</w:t>
            </w:r>
          </w:p>
        </w:tc>
        <w:tc>
          <w:tcPr>
            <w:tcW w:w="0" w:type="auto"/>
          </w:tcPr>
          <w:p w14:paraId="57D6BC6D" w14:textId="77777777" w:rsidR="001368E7" w:rsidRDefault="00000000">
            <w:pPr>
              <w:pStyle w:val="Compact"/>
            </w:pPr>
            <w:r>
              <w:t>−0.0250</w:t>
            </w:r>
          </w:p>
        </w:tc>
        <w:tc>
          <w:tcPr>
            <w:tcW w:w="0" w:type="auto"/>
          </w:tcPr>
          <w:p w14:paraId="64078074" w14:textId="77777777" w:rsidR="001368E7" w:rsidRDefault="00000000">
            <w:pPr>
              <w:pStyle w:val="Compact"/>
            </w:pPr>
            <w:r>
              <w:t>−0.0268</w:t>
            </w:r>
          </w:p>
        </w:tc>
        <w:tc>
          <w:tcPr>
            <w:tcW w:w="0" w:type="auto"/>
          </w:tcPr>
          <w:p w14:paraId="0ED7E0B3" w14:textId="77777777" w:rsidR="001368E7" w:rsidRDefault="00000000">
            <w:pPr>
              <w:pStyle w:val="Compact"/>
            </w:pPr>
            <w:r>
              <w:t>−0.0272</w:t>
            </w:r>
          </w:p>
        </w:tc>
        <w:tc>
          <w:tcPr>
            <w:tcW w:w="0" w:type="auto"/>
          </w:tcPr>
          <w:p w14:paraId="0AD3DE7D" w14:textId="77777777" w:rsidR="001368E7" w:rsidRDefault="00000000">
            <w:pPr>
              <w:pStyle w:val="Compact"/>
            </w:pPr>
            <w:r>
              <w:t>0.0016</w:t>
            </w:r>
          </w:p>
        </w:tc>
        <w:tc>
          <w:tcPr>
            <w:tcW w:w="0" w:type="auto"/>
          </w:tcPr>
          <w:p w14:paraId="7D0B225F" w14:textId="77777777" w:rsidR="001368E7" w:rsidRDefault="00000000">
            <w:pPr>
              <w:pStyle w:val="Compact"/>
            </w:pPr>
            <w:r>
              <w:t>0.0002</w:t>
            </w:r>
          </w:p>
        </w:tc>
        <w:tc>
          <w:tcPr>
            <w:tcW w:w="0" w:type="auto"/>
          </w:tcPr>
          <w:p w14:paraId="2F3282DC" w14:textId="77777777" w:rsidR="001368E7" w:rsidRDefault="00000000">
            <w:pPr>
              <w:pStyle w:val="Compact"/>
            </w:pPr>
            <w:r>
              <w:t>−0.0001</w:t>
            </w:r>
          </w:p>
        </w:tc>
      </w:tr>
    </w:tbl>
    <w:p w14:paraId="1C7D2047" w14:textId="57B5C36F" w:rsidR="001368E7" w:rsidRDefault="00000000">
      <w:pPr>
        <w:pStyle w:val="BodyText"/>
      </w:pPr>
      <w:r>
        <w:t xml:space="preserve">Тэмдэглэл: </w:t>
      </w:r>
      <w:r w:rsidR="001B2DA0">
        <w:t>Хүснэгт дэх у</w:t>
      </w:r>
      <w:r>
        <w:t>тгууд нь нэг стандарт хазайлтын шокод үзүүлэх хариу үйлдэл</w:t>
      </w:r>
      <w:r w:rsidR="001B2DA0">
        <w:t>,</w:t>
      </w:r>
      <w:r>
        <w:t xml:space="preserve"> κ бөөний нэгжийн гадаад валютын хадгаламжийн тоо хэмжээний зохицуулалтын зардал. Бусад бүх параметрийг хойдчилсон дундаж утг</w:t>
      </w:r>
      <w:r w:rsidR="001B2DA0">
        <w:t>аар нь авлаа.</w:t>
      </w:r>
      <w:r>
        <w:t>.</w:t>
      </w:r>
    </w:p>
    <w:p w14:paraId="074BF33A" w14:textId="4D8F85F2" w:rsidR="001368E7" w:rsidRDefault="00000000">
      <w:pPr>
        <w:pStyle w:val="BodyText"/>
      </w:pPr>
      <w:r>
        <w:lastRenderedPageBreak/>
        <w:t>Хүснэгтээс гурван зүйл харагдана. Нэгдүгээрт, гадаад валютын хадгаламжийн өртгийн хариу үйлдэл зардал багасах тусам хэвийн болно. Зардал арван нэгжтэй үед уг өртөг эхний улиралд 10.3 болон 13.4 нэгжээр унаж байсан бол тэгээр тавихад 0.81 болж, гадаад зээллэгийн өртөгтэй яг тэнцэнэ. Уг уналт эдийн засгийн агуулгагүй бөгөөд зохицуулалтын зардлын шууд үр дагавар болохыг энэ харуулна.</w:t>
      </w:r>
    </w:p>
    <w:p w14:paraId="07BEAABA" w14:textId="77777777" w:rsidR="001368E7" w:rsidRDefault="00000000">
      <w:pPr>
        <w:pStyle w:val="BodyText"/>
      </w:pPr>
      <w:r>
        <w:t>Хоёрдугаарт, банкны ашгийн хариу үйлдэл тэмдгээ солино. Зардал арван нэгжтэй үед ашиг эхний улиралд 12.6 болон 41.9 хувиар өсдөг бол тэгээр тавихад 11.3 болон 14.3 хувиар буурна. Ашгийн эерэг үсрэлт нь долларжилт өндөр үед бүр томордог бөгөөд энэ нь хадгаламжийн өртгийн уналтаас шууд урган гарна.</w:t>
      </w:r>
    </w:p>
    <w:p w14:paraId="38A84CF4" w14:textId="77777777" w:rsidR="001368E7" w:rsidRDefault="00000000">
      <w:pPr>
        <w:pStyle w:val="BodyText"/>
      </w:pPr>
      <w:r>
        <w:t>Гуравдугаарт, дунд хугацааны механизмын тэмдэг эргэнэ. Зардал арван нэгжтэй үед 53.7 хувийн долларжилтад банкны өөрийн хөрөнгө найм дахь улиралд 3.0 хувиар өсч, спред 0.6 хувиар нарийсдаг бол тэгээр тавихад өөрийн хөрөнгө 4.8 хувиар буурч, спред 3.5 хувиар өргөснө. Зөвхөн сүүлийн тохиолдолд хоёр долларжилтын түвшинд тэмдэг ижил болж, долларжилт өндөр байх тусам хохирол том байна. Иймд 5.4 хэсгийн туршилтыг зохицуулалтын зардлыг тэгээр тавьж гүйцэтгэсэн болно. Оношилгоог улсын эрсдэлийн шагналын шокын хувьд хийсэн бөгөөд дэлхийн хүүний шокод ижил хэв маяг давтагдаж байгааг 5.4 хэсгийн Хүснэгт 10-аас харж болно.</w:t>
      </w:r>
      <w:bookmarkEnd w:id="0"/>
    </w:p>
    <w:sectPr w:rsidR="001368E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A91B0" w14:textId="77777777" w:rsidR="001B4E5D" w:rsidRDefault="001B4E5D">
      <w:pPr>
        <w:spacing w:after="0"/>
      </w:pPr>
      <w:r>
        <w:separator/>
      </w:r>
    </w:p>
  </w:endnote>
  <w:endnote w:type="continuationSeparator" w:id="0">
    <w:p w14:paraId="708BE839" w14:textId="77777777" w:rsidR="001B4E5D" w:rsidRDefault="001B4E5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3DE1F" w14:textId="77777777" w:rsidR="001B4E5D" w:rsidRDefault="001B4E5D">
      <w:r>
        <w:separator/>
      </w:r>
    </w:p>
  </w:footnote>
  <w:footnote w:type="continuationSeparator" w:id="0">
    <w:p w14:paraId="45CD19D7" w14:textId="77777777" w:rsidR="001B4E5D" w:rsidRDefault="001B4E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88F50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78912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NjI2NDc1NjA3MDA3s7RQ0lEKTi0uzszPAykwrAUAkuXbcywAAAA="/>
  </w:docVars>
  <w:rsids>
    <w:rsidRoot w:val="001368E7"/>
    <w:rsid w:val="001368E7"/>
    <w:rsid w:val="001B2DA0"/>
    <w:rsid w:val="001B4E5D"/>
    <w:rsid w:val="00284719"/>
    <w:rsid w:val="00BF3CE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DE848"/>
  <w15:docId w15:val="{7B9F7514-8537-4DD6-888E-DBCFD8848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iCs/>
      <w:color w:val="4F81BD" w:themeColor="accent1"/>
    </w:rPr>
  </w:style>
  <w:style w:type="paragraph" w:styleId="Heading6">
    <w:name w:val="heading 6"/>
    <w:basedOn w:val="Normal"/>
    <w:next w:val="BodyText"/>
    <w:uiPriority w:val="9"/>
    <w:unhideWhenUsed/>
    <w:qFormat/>
    <w:pPr>
      <w:keepNext/>
      <w:keepLines/>
      <w:spacing w:before="200" w:after="0"/>
      <w:outlineLvl w:val="5"/>
    </w:pPr>
    <w:rPr>
      <w:color w:val="4F81BD" w:themeColor="accent1"/>
    </w:rPr>
  </w:style>
  <w:style w:type="paragraph" w:styleId="Heading7">
    <w:name w:val="heading 7"/>
    <w:basedOn w:val="Normal"/>
    <w:next w:val="BodyText"/>
    <w:uiPriority w:val="9"/>
    <w:unhideWhenUsed/>
    <w:qFormat/>
    <w:pPr>
      <w:keepNext/>
      <w:keepLines/>
      <w:spacing w:before="200" w:after="0"/>
      <w:outlineLvl w:val="6"/>
    </w:pPr>
    <w:rPr>
      <w:color w:val="4F81BD" w:themeColor="accent1"/>
    </w:rPr>
  </w:style>
  <w:style w:type="paragraph" w:styleId="Heading8">
    <w:name w:val="heading 8"/>
    <w:basedOn w:val="Normal"/>
    <w:next w:val="BodyText"/>
    <w:uiPriority w:val="9"/>
    <w:unhideWhenUsed/>
    <w:qFormat/>
    <w:pPr>
      <w:keepNext/>
      <w:keepLines/>
      <w:spacing w:before="200" w:after="0"/>
      <w:outlineLvl w:val="7"/>
    </w:pPr>
    <w:rPr>
      <w:color w:val="4F81BD" w:themeColor="accent1"/>
    </w:rPr>
  </w:style>
  <w:style w:type="paragraph" w:styleId="Heading9">
    <w:name w:val="heading 9"/>
    <w:basedOn w:val="Normal"/>
    <w:next w:val="BodyText"/>
    <w:uiPriority w:val="9"/>
    <w:unhideWhenUsed/>
    <w:qFormat/>
    <w:pPr>
      <w:keepNext/>
      <w:keepLines/>
      <w:spacing w:before="200" w:after="0"/>
      <w:outlineLvl w:val="8"/>
    </w:pPr>
    <w:rPr>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hAnsi="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7020"/>
      <w:sz w:val="22"/>
    </w:rPr>
  </w:style>
  <w:style w:type="character" w:customStyle="1" w:styleId="DataTypeTok">
    <w:name w:val="DataTypeTok"/>
    <w:basedOn w:val="VerbatimChar"/>
    <w:rPr>
      <w:rFonts w:ascii="Times New Roman" w:hAnsi="Times New Roman"/>
      <w:color w:val="902000"/>
      <w:sz w:val="22"/>
    </w:rPr>
  </w:style>
  <w:style w:type="character" w:customStyle="1" w:styleId="DecValTok">
    <w:name w:val="DecValTok"/>
    <w:basedOn w:val="VerbatimChar"/>
    <w:rPr>
      <w:rFonts w:ascii="Times New Roman" w:hAnsi="Times New Roman"/>
      <w:color w:val="40A070"/>
      <w:sz w:val="22"/>
    </w:rPr>
  </w:style>
  <w:style w:type="character" w:customStyle="1" w:styleId="BaseNTok">
    <w:name w:val="BaseNTok"/>
    <w:basedOn w:val="VerbatimChar"/>
    <w:rPr>
      <w:rFonts w:ascii="Times New Roman" w:hAnsi="Times New Roman"/>
      <w:color w:val="40A070"/>
      <w:sz w:val="22"/>
    </w:rPr>
  </w:style>
  <w:style w:type="character" w:customStyle="1" w:styleId="FloatTok">
    <w:name w:val="FloatTok"/>
    <w:basedOn w:val="VerbatimChar"/>
    <w:rPr>
      <w:rFonts w:ascii="Times New Roman" w:hAnsi="Times New Roman"/>
      <w:color w:val="40A070"/>
      <w:sz w:val="22"/>
    </w:rPr>
  </w:style>
  <w:style w:type="character" w:customStyle="1" w:styleId="ConstantTok">
    <w:name w:val="ConstantTok"/>
    <w:basedOn w:val="VerbatimChar"/>
    <w:rPr>
      <w:rFonts w:ascii="Times New Roman" w:hAnsi="Times New Roman"/>
      <w:color w:val="880000"/>
      <w:sz w:val="22"/>
    </w:rPr>
  </w:style>
  <w:style w:type="character" w:customStyle="1" w:styleId="CharTok">
    <w:name w:val="CharTok"/>
    <w:basedOn w:val="VerbatimChar"/>
    <w:rPr>
      <w:rFonts w:ascii="Times New Roman" w:hAnsi="Times New Roman"/>
      <w:color w:val="4070A0"/>
      <w:sz w:val="22"/>
    </w:rPr>
  </w:style>
  <w:style w:type="character" w:customStyle="1" w:styleId="SpecialCharTok">
    <w:name w:val="SpecialCharTok"/>
    <w:basedOn w:val="VerbatimChar"/>
    <w:rPr>
      <w:rFonts w:ascii="Times New Roman" w:hAnsi="Times New Roman"/>
      <w:color w:val="4070A0"/>
      <w:sz w:val="22"/>
    </w:rPr>
  </w:style>
  <w:style w:type="character" w:customStyle="1" w:styleId="StringTok">
    <w:name w:val="StringTok"/>
    <w:basedOn w:val="VerbatimChar"/>
    <w:rPr>
      <w:rFonts w:ascii="Times New Roman" w:hAnsi="Times New Roman"/>
      <w:color w:val="4070A0"/>
      <w:sz w:val="22"/>
    </w:rPr>
  </w:style>
  <w:style w:type="character" w:customStyle="1" w:styleId="VerbatimStringTok">
    <w:name w:val="VerbatimStringTok"/>
    <w:basedOn w:val="VerbatimChar"/>
    <w:rPr>
      <w:rFonts w:ascii="Times New Roman" w:hAnsi="Times New Roman"/>
      <w:color w:val="4070A0"/>
      <w:sz w:val="22"/>
    </w:rPr>
  </w:style>
  <w:style w:type="character" w:customStyle="1" w:styleId="SpecialStringTok">
    <w:name w:val="SpecialStringTok"/>
    <w:basedOn w:val="VerbatimChar"/>
    <w:rPr>
      <w:rFonts w:ascii="Times New Roman" w:hAnsi="Times New Roman"/>
      <w:color w:val="BB6688"/>
      <w:sz w:val="22"/>
    </w:rPr>
  </w:style>
  <w:style w:type="character" w:customStyle="1" w:styleId="ImportTok">
    <w:name w:val="ImportTok"/>
    <w:basedOn w:val="VerbatimChar"/>
    <w:rPr>
      <w:rFonts w:ascii="Times New Roman" w:hAnsi="Times New Roman"/>
      <w:b/>
      <w:color w:val="008000"/>
      <w:sz w:val="22"/>
    </w:rPr>
  </w:style>
  <w:style w:type="character" w:customStyle="1" w:styleId="CommentTok">
    <w:name w:val="CommentTok"/>
    <w:basedOn w:val="VerbatimChar"/>
    <w:rPr>
      <w:rFonts w:ascii="Times New Roman" w:hAnsi="Times New Roman"/>
      <w:i/>
      <w:color w:val="60A0B0"/>
      <w:sz w:val="22"/>
    </w:rPr>
  </w:style>
  <w:style w:type="character" w:customStyle="1" w:styleId="DocumentationTok">
    <w:name w:val="DocumentationTok"/>
    <w:basedOn w:val="VerbatimChar"/>
    <w:rPr>
      <w:rFonts w:ascii="Times New Roman" w:hAnsi="Times New Roman"/>
      <w:i/>
      <w:color w:val="BA2121"/>
      <w:sz w:val="22"/>
    </w:rPr>
  </w:style>
  <w:style w:type="character" w:customStyle="1" w:styleId="AnnotationTok">
    <w:name w:val="AnnotationTok"/>
    <w:basedOn w:val="VerbatimChar"/>
    <w:rPr>
      <w:rFonts w:ascii="Times New Roman" w:hAnsi="Times New Roman"/>
      <w:b/>
      <w:i/>
      <w:color w:val="60A0B0"/>
      <w:sz w:val="22"/>
    </w:rPr>
  </w:style>
  <w:style w:type="character" w:customStyle="1" w:styleId="CommentVarTok">
    <w:name w:val="CommentVarTok"/>
    <w:basedOn w:val="VerbatimChar"/>
    <w:rPr>
      <w:rFonts w:ascii="Times New Roman" w:hAnsi="Times New Roman"/>
      <w:b/>
      <w:i/>
      <w:color w:val="60A0B0"/>
      <w:sz w:val="22"/>
    </w:rPr>
  </w:style>
  <w:style w:type="character" w:customStyle="1" w:styleId="OtherTok">
    <w:name w:val="OtherTok"/>
    <w:basedOn w:val="VerbatimChar"/>
    <w:rPr>
      <w:rFonts w:ascii="Times New Roman" w:hAnsi="Times New Roman"/>
      <w:color w:val="007020"/>
      <w:sz w:val="22"/>
    </w:rPr>
  </w:style>
  <w:style w:type="character" w:customStyle="1" w:styleId="FunctionTok">
    <w:name w:val="FunctionTok"/>
    <w:basedOn w:val="VerbatimChar"/>
    <w:rPr>
      <w:rFonts w:ascii="Times New Roman" w:hAnsi="Times New Roman"/>
      <w:color w:val="06287E"/>
      <w:sz w:val="22"/>
    </w:rPr>
  </w:style>
  <w:style w:type="character" w:customStyle="1" w:styleId="VariableTok">
    <w:name w:val="VariableTok"/>
    <w:basedOn w:val="VerbatimChar"/>
    <w:rPr>
      <w:rFonts w:ascii="Times New Roman" w:hAnsi="Times New Roman"/>
      <w:color w:val="19177C"/>
      <w:sz w:val="22"/>
    </w:rPr>
  </w:style>
  <w:style w:type="character" w:customStyle="1" w:styleId="ControlFlowTok">
    <w:name w:val="ControlFlowTok"/>
    <w:basedOn w:val="VerbatimChar"/>
    <w:rPr>
      <w:rFonts w:ascii="Times New Roman" w:hAnsi="Times New Roman"/>
      <w:b/>
      <w:color w:val="007020"/>
      <w:sz w:val="22"/>
    </w:rPr>
  </w:style>
  <w:style w:type="character" w:customStyle="1" w:styleId="OperatorTok">
    <w:name w:val="OperatorTok"/>
    <w:basedOn w:val="VerbatimChar"/>
    <w:rPr>
      <w:rFonts w:ascii="Times New Roman" w:hAnsi="Times New Roman"/>
      <w:color w:val="666666"/>
      <w:sz w:val="22"/>
    </w:rPr>
  </w:style>
  <w:style w:type="character" w:customStyle="1" w:styleId="BuiltInTok">
    <w:name w:val="BuiltInTok"/>
    <w:basedOn w:val="VerbatimChar"/>
    <w:rPr>
      <w:rFonts w:ascii="Times New Roman" w:hAnsi="Times New Roman"/>
      <w:color w:val="008000"/>
      <w:sz w:val="22"/>
    </w:rPr>
  </w:style>
  <w:style w:type="character" w:customStyle="1" w:styleId="ExtensionTok">
    <w:name w:val="ExtensionTok"/>
    <w:basedOn w:val="VerbatimChar"/>
    <w:rPr>
      <w:rFonts w:ascii="Times New Roman" w:hAnsi="Times New Roman"/>
      <w:sz w:val="22"/>
    </w:rPr>
  </w:style>
  <w:style w:type="character" w:customStyle="1" w:styleId="PreprocessorTok">
    <w:name w:val="PreprocessorTok"/>
    <w:basedOn w:val="VerbatimChar"/>
    <w:rPr>
      <w:rFonts w:ascii="Times New Roman" w:hAnsi="Times New Roman"/>
      <w:color w:val="BC7A00"/>
      <w:sz w:val="22"/>
    </w:rPr>
  </w:style>
  <w:style w:type="character" w:customStyle="1" w:styleId="AttributeTok">
    <w:name w:val="AttributeTok"/>
    <w:basedOn w:val="VerbatimChar"/>
    <w:rPr>
      <w:rFonts w:ascii="Times New Roman" w:hAnsi="Times New Roman"/>
      <w:color w:val="7D9029"/>
      <w:sz w:val="22"/>
    </w:rPr>
  </w:style>
  <w:style w:type="character" w:customStyle="1" w:styleId="RegionMarkerTok">
    <w:name w:val="RegionMarkerTok"/>
    <w:basedOn w:val="VerbatimChar"/>
    <w:rPr>
      <w:rFonts w:ascii="Times New Roman" w:hAnsi="Times New Roman"/>
      <w:sz w:val="22"/>
    </w:rPr>
  </w:style>
  <w:style w:type="character" w:customStyle="1" w:styleId="InformationTok">
    <w:name w:val="InformationTok"/>
    <w:basedOn w:val="VerbatimChar"/>
    <w:rPr>
      <w:rFonts w:ascii="Times New Roman" w:hAnsi="Times New Roman"/>
      <w:b/>
      <w:i/>
      <w:color w:val="60A0B0"/>
      <w:sz w:val="22"/>
    </w:rPr>
  </w:style>
  <w:style w:type="character" w:customStyle="1" w:styleId="WarningTok">
    <w:name w:val="WarningTok"/>
    <w:basedOn w:val="VerbatimChar"/>
    <w:rPr>
      <w:rFonts w:ascii="Times New Roman" w:hAnsi="Times New Roman"/>
      <w:b/>
      <w:i/>
      <w:color w:val="60A0B0"/>
      <w:sz w:val="22"/>
    </w:rPr>
  </w:style>
  <w:style w:type="character" w:customStyle="1" w:styleId="AlertTok">
    <w:name w:val="AlertTok"/>
    <w:basedOn w:val="VerbatimChar"/>
    <w:rPr>
      <w:rFonts w:ascii="Times New Roman" w:hAnsi="Times New Roman"/>
      <w:b/>
      <w:color w:val="FF0000"/>
      <w:sz w:val="22"/>
    </w:rPr>
  </w:style>
  <w:style w:type="character" w:customStyle="1" w:styleId="ErrorTok">
    <w:name w:val="ErrorTok"/>
    <w:basedOn w:val="VerbatimChar"/>
    <w:rPr>
      <w:rFonts w:ascii="Times New Roman" w:hAnsi="Times New Roman"/>
      <w:b/>
      <w:color w:val="FF0000"/>
      <w:sz w:val="22"/>
    </w:rPr>
  </w:style>
  <w:style w:type="character" w:customStyle="1" w:styleId="NormalTok">
    <w:name w:val="NormalTok"/>
    <w:basedOn w:val="VerbatimChar"/>
    <w:rPr>
      <w:rFonts w:ascii="Times New Roman" w:hAnsi="Times New Roman"/>
      <w:sz w:val="22"/>
    </w:rPr>
  </w:style>
  <w:style w:type="character" w:styleId="Strong">
    <w:name w:val="Strong"/>
    <w:basedOn w:val="DefaultParagraphFont"/>
    <w:uiPriority w:val="22"/>
    <w:qFormat/>
    <w:rsid w:val="001B2D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536</Words>
  <Characters>3057</Characters>
  <Application>Microsoft Office Word</Application>
  <DocSecurity>0</DocSecurity>
  <Lines>25</Lines>
  <Paragraphs>7</Paragraphs>
  <ScaleCrop>false</ScaleCrop>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Daashinkhuu Gansuld</cp:lastModifiedBy>
  <cp:revision>3</cp:revision>
  <dcterms:created xsi:type="dcterms:W3CDTF">2026-08-26T21:41:00Z</dcterms:created>
  <dcterms:modified xsi:type="dcterms:W3CDTF">2026-08-27T15:39:00Z</dcterms:modified>
</cp:coreProperties>
</file>