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F078" w14:textId="77777777" w:rsidR="00D466BF" w:rsidRDefault="00000000">
      <w:pPr>
        <w:pStyle w:val="Heading3"/>
        <w:numPr>
          <w:ilvl w:val="0"/>
          <w:numId w:val="0"/>
        </w:numPr>
      </w:pPr>
      <w:bookmarkStart w:id="0" w:name="худалдаа-ба-ханшийн-үнэ-рүү-дамжих-суваг"/>
      <w:r>
        <w:t>7.1 Худалдаа ба ханшийн үнэ рүү дамжих суваг</w:t>
      </w:r>
    </w:p>
    <w:p w14:paraId="72920D13" w14:textId="7616E113" w:rsidR="00D466BF" w:rsidRDefault="00000000">
      <w:pPr>
        <w:pStyle w:val="FirstParagraph"/>
      </w:pPr>
      <w:r>
        <w:t>Энэ бүлгийн зорилго, тавьсан судалгааны асуултуудтай холбоотойгоор Gerali et al.</w:t>
      </w:r>
      <w:r w:rsidR="00617EA3">
        <w:t xml:space="preserve"> </w:t>
      </w:r>
      <w:r>
        <w:t xml:space="preserve">(2010)-ын эх загварыг зөвхөн банкны секторын хувьд өргөтгөсөн бөгөөд тодруулбал, </w:t>
      </w:r>
      <w:r w:rsidR="00617EA3">
        <w:rPr>
          <w:lang w:val="mn-MN"/>
        </w:rPr>
        <w:t xml:space="preserve">онолын хувьд </w:t>
      </w:r>
      <w:r>
        <w:t>төлөөлөгч тэвчээртэй өрх гадаад валютын хадгаламж хийнэ, мөн бөөний нэгж гадаадаас санхүүжилт татна гэсэн хоёр үндсэн өргөтгөлийг хийсэн болно. Төлбөрийн тэнцэл өргөтгөсөн загварт бүхэлдээ зөвхөн цэвэр гадаад активаар тодорхойлогдох бөгөөд бодит секторын нээлттэй байдлыг загварчлаагүй. Валютын ханш тэгшитгэл 2.51-ээр тодорхойлогдож, банкны балансын гадаад валютын хэсгийг дахин үнэлдэг. Гадаад нөхцөл ийнхүү зөвхөн санхүүгийн сувгаар дамжин орж ирэх бөгөөд бодит секторт шууд хүрэх зам загварт байхгүй.</w:t>
      </w:r>
    </w:p>
    <w:p w14:paraId="680C77CD" w14:textId="77777777" w:rsidR="00D466BF" w:rsidRDefault="00000000">
      <w:pPr>
        <w:pStyle w:val="BodyText"/>
      </w:pPr>
      <w:r>
        <w:t>Бараа, үйлчилгээний импорт, экспорт, мөн хөрөнгө оруулалтын барааны импорт гурвуулаа загварт ороогүй тул ханш суларахад импортын үнэ, хэрэглээний үнэ, хөрөнгө оруулалтын өртөг шууд хөдлөхгүй бөгөөд инфляц зөвхөн эцсийн бүтээгдэхүүний дотоод жижиглэнгийн худалдаачдын үнийн шийдвэрээс гарна. 5.1 хэсэгт улсын эрсдэлийн шагналын шокод ханш 3 хувиар суларсан хэдий ч инфляцын хариу үйлдэл бага байсан нь энэхүү бүтцийн хязгаарлалтаас урган гарна.</w:t>
      </w:r>
    </w:p>
    <w:p w14:paraId="415CF4E0" w14:textId="1C013C78" w:rsidR="00D466BF" w:rsidRDefault="00617EA3">
      <w:pPr>
        <w:pStyle w:val="BodyText"/>
      </w:pPr>
      <w:r>
        <w:t>Валютын х</w:t>
      </w:r>
      <w:r w:rsidR="00000000">
        <w:t xml:space="preserve">аншаас </w:t>
      </w:r>
      <w:r>
        <w:t xml:space="preserve">бараа, үйлчилгээ ба хөрөнгө оруулалтын </w:t>
      </w:r>
      <w:r w:rsidR="00000000">
        <w:t>үнэ рүү дамжих сувгийг нээхэд бараа, үйлчилгээний экспортыг гадаад эрэлтийн хамт тодорхойлж, импортын хэрэглээ б</w:t>
      </w:r>
      <w:r>
        <w:t>а</w:t>
      </w:r>
      <w:r w:rsidR="00000000">
        <w:t xml:space="preserve"> хөрөнгө оруулалтын багцыг тус тусад нь өөрийн үнэтэйгээр оруулах шаардлагатай. Мөн орон нутгийн эсвэл үйлдвэрлэгчийн валютаар үнэ тогтоох сонголтыг тодорхойлж, худалдааны нөхцлийг эндоген болгоно.</w:t>
      </w:r>
    </w:p>
    <w:p w14:paraId="262B0374" w14:textId="20C2C936" w:rsidR="00D466BF" w:rsidRDefault="00000000">
      <w:pPr>
        <w:pStyle w:val="BodyText"/>
      </w:pPr>
      <w:r>
        <w:t>Ийнхүү</w:t>
      </w:r>
      <w:r w:rsidR="00617EA3">
        <w:t xml:space="preserve"> бодит секторыг нээлттэй болгож,</w:t>
      </w:r>
      <w:r>
        <w:t xml:space="preserve"> өргөтгөх суурь нь уран зохиолд бэлэн байна. Galí, Monacelli (2005) нар жижиг</w:t>
      </w:r>
      <w:r w:rsidR="00617EA3">
        <w:t>,</w:t>
      </w:r>
      <w:r>
        <w:t xml:space="preserve"> нээлттэй эдийн засгийн стандарт хүрээг гаргасан бөгөөд түүнээс хойших </w:t>
      </w:r>
      <w:r w:rsidR="00617EA3">
        <w:t>ДСЕТ-ийн</w:t>
      </w:r>
      <w:r>
        <w:t xml:space="preserve"> загварууд уг ажлыг өргөтгөж иржээ. Тэдний хүрээнд нэг барааны хууль үргэлж биелдэг тул ханшийн өөрчлөлт импортын үнэд бүрэн дамждаг бөгөөд зохиогчид өөрсдөө үүнийг онцолсон байдаг. Adolfson нар (2007) импортын хэрэглээ, импортын хөрөнгө оруулалт, экспортын салбар гурвыг тусад нь тодорхойлж, гурвуулан дээр нь үнийн наалдамхай байдал оруулснаар бүрэн бус дамжуулалтыг Бейсийн аргаар үнэлсэн анхны ажлуудын нэг болсон бөгөөд Евро бүсийн өгөгдлийг ашигласан болно. Christiano нар (2011) уг бүтцийг өвлөн авч, импортын барааг хэрэглээ, хөрөнгө оруулалт, экспортын үйлдвэрлэл гэсэн гурван зориулалтаар салгаж, Шведийн өгөгдөл дээр үнэлжээ.</w:t>
      </w:r>
    </w:p>
    <w:p w14:paraId="5B3036F5" w14:textId="67E95357" w:rsidR="00D466BF" w:rsidRDefault="00617EA3">
      <w:pPr>
        <w:pStyle w:val="BodyText"/>
      </w:pPr>
      <w:r w:rsidRPr="00617EA3">
        <w:t>Уг өргөтгөлийн дараа гадаад шок дотоод эдийн засагт хоёр сувгаар дамжих бөгөөд нийт нөлөө нь өсөх магадлалтай.</w:t>
      </w:r>
      <w:r w:rsidR="00000000">
        <w:t xml:space="preserve"> 5.2 хэсэгт улсын эрсдэлийн шагналын шок ханшийн хэлбэлзлийн 71.2 хувийг тайлбарлаж байсан бөгөөд одоо тэр хэлбэлзэл зөвхөн банкны балансаар дамжин зээлийн нөхцөлд шилждэг. Импортын үнийн суваг нэмэгдвэл ижил шок инфляц, бодит хэрэглээгээр дамжин нэмэлт нөлөө үзүүлнэ. Вариацын задаргаа харин эсрэг чиглэлд хөдлөх бөгөөд мөн тэнд тэмдэглэснээр түүхий эдийн үнэ, гадаад эрэлтийн шокыг оруулбал тэдгээр ханшийн хэлбэлзлийн зарим хэсгийг өөртөө авч, эрсдэлийн шагналын эзлэх хувь буурна.</w:t>
      </w:r>
      <w:bookmarkEnd w:id="0"/>
    </w:p>
    <w:sectPr w:rsidR="00D466BF"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48C5" w14:textId="77777777" w:rsidR="0043609B" w:rsidRDefault="0043609B">
      <w:pPr>
        <w:spacing w:line="240" w:lineRule="auto"/>
      </w:pPr>
      <w:r>
        <w:separator/>
      </w:r>
    </w:p>
  </w:endnote>
  <w:endnote w:type="continuationSeparator" w:id="0">
    <w:p w14:paraId="1AE9E162" w14:textId="77777777" w:rsidR="0043609B" w:rsidRDefault="004360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0F3D8C7E"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474375F8"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7678C73C"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12802EA1"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19E5" w14:textId="77777777" w:rsidR="0043609B" w:rsidRDefault="0043609B">
      <w:r>
        <w:separator/>
      </w:r>
    </w:p>
  </w:footnote>
  <w:footnote w:type="continuationSeparator" w:id="0">
    <w:p w14:paraId="5FFC67DE" w14:textId="77777777" w:rsidR="0043609B" w:rsidRDefault="00436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1651787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IwNTAxszQ2N7A0MjNS0lEKTi0uzszPAykwrAUAMn5IFywAAAA="/>
  </w:docVars>
  <w:rsids>
    <w:rsidRoot w:val="00D466BF"/>
    <w:rsid w:val="003858A7"/>
    <w:rsid w:val="0043609B"/>
    <w:rsid w:val="00617EA3"/>
    <w:rsid w:val="00D466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990C"/>
  <w15:docId w15:val="{F2B4173A-8F8C-4AC9-A49C-CE028D26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9172</TotalTime>
  <Pages>1</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2</cp:revision>
  <dcterms:created xsi:type="dcterms:W3CDTF">2026-09-02T19:19:00Z</dcterms:created>
  <dcterms:modified xsi:type="dcterms:W3CDTF">2026-09-02T19:29:00Z</dcterms:modified>
</cp:coreProperties>
</file>