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7885F" w14:textId="77777777" w:rsidR="00AB19E1" w:rsidRDefault="00000000">
      <w:pPr>
        <w:pStyle w:val="Heading4"/>
      </w:pPr>
      <w:bookmarkStart w:id="0" w:name="улирлын-тохируулга"/>
      <w:r>
        <w:t>6.3.2 Улирлын тохируулга</w:t>
      </w:r>
    </w:p>
    <w:p w14:paraId="0A2780E7" w14:textId="77777777" w:rsidR="00AB19E1" w:rsidRDefault="00000000">
      <w:pPr>
        <w:pStyle w:val="FirstParagraph"/>
      </w:pPr>
      <w:r>
        <w:t>Тоо хэмжээний таван цувааг түвшин хэлбэрээр авч, Хүн амын тооллогын товчооны X-13ARIMA-SEATS програмаар улирлын нөлөөг арилгасны дараа суурь үнэлгээтэй ижил хувиргалт буюу логарифм, эхний ялгаварыг хэрэглэв. Улирлын тохируулга нь ялгаврын хувиргалтыг өөрчлөхгүй тул хэмжилтийн тэгшитгэл суурь үнэлгээнийхтэй ижил хэвээр үлдэх бөгөөд өмнөх дэд хэсгийн адил хүү, инфляц, ханшийн өөрчлөлт ч хөндөгдөөгүй болно.</w:t>
      </w:r>
    </w:p>
    <w:p w14:paraId="2888CFF9" w14:textId="4F234460" w:rsidR="00AB19E1" w:rsidRDefault="00000000">
      <w:pPr>
        <w:pStyle w:val="BodyText"/>
      </w:pPr>
      <w:r>
        <w:t xml:space="preserve">Харьцуулалтыг Хүснэгт 15-т үзүүлэв. Улсын эрсдэлийн шагналын тогтвортой байдал суурь үнэлгээнд 0.850, </w:t>
      </w:r>
      <w:r w:rsidR="00AB24D0">
        <w:rPr>
          <w:lang w:val="mn-MN"/>
        </w:rPr>
        <w:t xml:space="preserve">улирлын </w:t>
      </w:r>
      <w:r>
        <w:t>тохируул</w:t>
      </w:r>
      <w:r w:rsidR="00AB24D0">
        <w:t>га хийсэн</w:t>
      </w:r>
      <w:r>
        <w:t xml:space="preserve"> хувилбарт 0.838 буюу ялгаа нь зууны нэг хагас байна. Итгэлийн 90 хувийн интервал 0.133-аас 0.142 болж арай өргөсөв.</w:t>
      </w:r>
    </w:p>
    <w:p w14:paraId="239F43D3" w14:textId="32B7D5B1" w:rsidR="00AB19E1" w:rsidRDefault="00000000">
      <w:pPr>
        <w:pStyle w:val="BodyText"/>
      </w:pPr>
      <w:r>
        <w:t xml:space="preserve">Гадаад шокын дамжуулалт ч хэвээр үлдэж, улсын эрсдэлийн шагналын шокод ханш эхний улиралд суурь үнэлгээнд 3.06, </w:t>
      </w:r>
      <w:r w:rsidR="00AB24D0">
        <w:t xml:space="preserve">улирлын </w:t>
      </w:r>
      <w:r>
        <w:t>тохируул</w:t>
      </w:r>
      <w:r w:rsidR="00AB24D0">
        <w:t>га хийсэн</w:t>
      </w:r>
      <w:r>
        <w:t xml:space="preserve"> хувилбарт 3.16 хувиар суларна. Банкны капитал дөрөв дэх улиралд өс</w:t>
      </w:r>
      <w:r w:rsidR="00AB24D0">
        <w:t>өж</w:t>
      </w:r>
      <w:r>
        <w:t>, найм дахь улирлаас сөрөг болж, хорь дахь улиралд 1.54-өөс 1.51 хувь бол</w:t>
      </w:r>
      <w:r w:rsidR="00AB24D0">
        <w:t>ов</w:t>
      </w:r>
      <w:r>
        <w:t>. Спред найм дахь улирлаас өргөс</w:t>
      </w:r>
      <w:r w:rsidR="00AB24D0">
        <w:t>өж</w:t>
      </w:r>
      <w:r>
        <w:t>, арван хоёр дахь улиралд 1.09-өөс 1.14 хувь болж байна.</w:t>
      </w:r>
    </w:p>
    <w:p w14:paraId="2FF9AA41" w14:textId="2B7A8AE2" w:rsidR="00AB19E1" w:rsidRDefault="00000000">
      <w:pPr>
        <w:pStyle w:val="BodyText"/>
      </w:pPr>
      <w:r>
        <w:t xml:space="preserve">Спредийн оргил энд ч хөдлөөгүй бөгөөд капиталын зорилтот харьцаанаас хазайх зардал 1.97-оос 2.10 болж бага зэрэг өссөн нь өгөгдлийн хоёр өөр хувиргалт хоёулаа спредээр дамжих сувгийг хөндөөгүйг харуулж байна. </w:t>
      </w:r>
      <w:r w:rsidR="00AB24D0" w:rsidRPr="00AB24D0">
        <w:t>6.2 хэсгийн шокын байрлалыг нэмж авч үзвэл спредийн оргил шокын байрлалыг өөрчлөхөд 0.61, өгөгдлийн хоёр хувиргалтад 1.10 ба 1.14 хувь болж, зөвхөн байрлалын өөрчлөлт л түүнийг мэдэгдэхүйц бууруулж байгаа нь тодорхой харагдана.</w:t>
      </w:r>
    </w:p>
    <w:p w14:paraId="180546B9" w14:textId="77777777" w:rsidR="00AB19E1" w:rsidRDefault="00000000">
      <w:pPr>
        <w:pStyle w:val="BodyText"/>
      </w:pPr>
      <w:r>
        <w:rPr>
          <w:b/>
          <w:bCs/>
        </w:rPr>
        <w:t>Хүснэгт 15.</w:t>
      </w:r>
      <w:r>
        <w:t xml:space="preserve"> Улирлын тохируулгын нөлөө</w:t>
      </w:r>
    </w:p>
    <w:tbl>
      <w:tblPr>
        <w:tblStyle w:val="Table"/>
        <w:tblW w:w="0" w:type="auto"/>
        <w:tblLook w:val="0020" w:firstRow="1" w:lastRow="0" w:firstColumn="0" w:lastColumn="0" w:noHBand="0" w:noVBand="0"/>
      </w:tblPr>
      <w:tblGrid>
        <w:gridCol w:w="3558"/>
        <w:gridCol w:w="2721"/>
        <w:gridCol w:w="3070"/>
      </w:tblGrid>
      <w:tr w:rsidR="00AB19E1" w14:paraId="331DB04E" w14:textId="77777777" w:rsidTr="00AB19E1">
        <w:trPr>
          <w:cnfStyle w:val="100000000000" w:firstRow="1" w:lastRow="0" w:firstColumn="0" w:lastColumn="0" w:oddVBand="0" w:evenVBand="0" w:oddHBand="0" w:evenHBand="0" w:firstRowFirstColumn="0" w:firstRowLastColumn="0" w:lastRowFirstColumn="0" w:lastRowLastColumn="0"/>
          <w:tblHeader/>
        </w:trPr>
        <w:tc>
          <w:tcPr>
            <w:tcW w:w="0" w:type="auto"/>
          </w:tcPr>
          <w:p w14:paraId="1D76E925" w14:textId="77777777" w:rsidR="00AB19E1" w:rsidRDefault="00AB19E1">
            <w:pPr>
              <w:pStyle w:val="Compact"/>
            </w:pPr>
          </w:p>
        </w:tc>
        <w:tc>
          <w:tcPr>
            <w:tcW w:w="0" w:type="auto"/>
          </w:tcPr>
          <w:p w14:paraId="75DB0449" w14:textId="77777777" w:rsidR="00AB19E1" w:rsidRDefault="00000000">
            <w:pPr>
              <w:pStyle w:val="Compact"/>
            </w:pPr>
            <w:r>
              <w:t>Суурь үнэлгээ, тохируулгагүй</w:t>
            </w:r>
          </w:p>
        </w:tc>
        <w:tc>
          <w:tcPr>
            <w:tcW w:w="0" w:type="auto"/>
          </w:tcPr>
          <w:p w14:paraId="6E40482C" w14:textId="4B440082" w:rsidR="00AB19E1" w:rsidRDefault="00AB24D0">
            <w:pPr>
              <w:pStyle w:val="Compact"/>
            </w:pPr>
            <w:r>
              <w:t>Улирлын т</w:t>
            </w:r>
            <w:r w:rsidR="00000000">
              <w:t>охируул</w:t>
            </w:r>
            <w:r>
              <w:t>га хийсэн</w:t>
            </w:r>
            <w:r w:rsidR="00000000">
              <w:t>, X-13</w:t>
            </w:r>
          </w:p>
        </w:tc>
      </w:tr>
      <w:tr w:rsidR="00AB19E1" w14:paraId="780B7BEF" w14:textId="77777777">
        <w:tc>
          <w:tcPr>
            <w:tcW w:w="0" w:type="auto"/>
          </w:tcPr>
          <w:p w14:paraId="15015E9B" w14:textId="77777777" w:rsidR="00AB19E1" w:rsidRDefault="00000000">
            <w:pPr>
              <w:pStyle w:val="Compact"/>
            </w:pPr>
            <w:r>
              <w:t>Эрсдэлийн шагналын тогтвортой байдал</w:t>
            </w:r>
          </w:p>
        </w:tc>
        <w:tc>
          <w:tcPr>
            <w:tcW w:w="0" w:type="auto"/>
          </w:tcPr>
          <w:p w14:paraId="7097119C" w14:textId="77777777" w:rsidR="00AB19E1" w:rsidRDefault="00000000">
            <w:pPr>
              <w:pStyle w:val="Compact"/>
            </w:pPr>
            <w:r>
              <w:t>0.850</w:t>
            </w:r>
          </w:p>
        </w:tc>
        <w:tc>
          <w:tcPr>
            <w:tcW w:w="0" w:type="auto"/>
          </w:tcPr>
          <w:p w14:paraId="6E8B7B70" w14:textId="77777777" w:rsidR="00AB19E1" w:rsidRDefault="00000000">
            <w:pPr>
              <w:pStyle w:val="Compact"/>
            </w:pPr>
            <w:r>
              <w:t>0.838</w:t>
            </w:r>
          </w:p>
        </w:tc>
      </w:tr>
      <w:tr w:rsidR="00AB19E1" w14:paraId="64F0F3BA" w14:textId="77777777">
        <w:tc>
          <w:tcPr>
            <w:tcW w:w="0" w:type="auto"/>
          </w:tcPr>
          <w:p w14:paraId="6B9E7097" w14:textId="77777777" w:rsidR="00AB19E1" w:rsidRDefault="00000000">
            <w:pPr>
              <w:pStyle w:val="Compact"/>
            </w:pPr>
            <w:r>
              <w:t>90 хувийн интервалын өргөн</w:t>
            </w:r>
          </w:p>
        </w:tc>
        <w:tc>
          <w:tcPr>
            <w:tcW w:w="0" w:type="auto"/>
          </w:tcPr>
          <w:p w14:paraId="385238EF" w14:textId="77777777" w:rsidR="00AB19E1" w:rsidRDefault="00000000">
            <w:pPr>
              <w:pStyle w:val="Compact"/>
            </w:pPr>
            <w:r>
              <w:t>0.133</w:t>
            </w:r>
          </w:p>
        </w:tc>
        <w:tc>
          <w:tcPr>
            <w:tcW w:w="0" w:type="auto"/>
          </w:tcPr>
          <w:p w14:paraId="455EE7D7" w14:textId="77777777" w:rsidR="00AB19E1" w:rsidRDefault="00000000">
            <w:pPr>
              <w:pStyle w:val="Compact"/>
            </w:pPr>
            <w:r>
              <w:t>0.142</w:t>
            </w:r>
          </w:p>
        </w:tc>
      </w:tr>
      <w:tr w:rsidR="00AB19E1" w14:paraId="16D0B3F6" w14:textId="77777777">
        <w:tc>
          <w:tcPr>
            <w:tcW w:w="0" w:type="auto"/>
          </w:tcPr>
          <w:p w14:paraId="0AC3117F" w14:textId="77777777" w:rsidR="00AB19E1" w:rsidRDefault="00000000">
            <w:pPr>
              <w:pStyle w:val="Compact"/>
            </w:pPr>
            <w:r>
              <w:t>Капиталын харьцааны зардал</w:t>
            </w:r>
          </w:p>
        </w:tc>
        <w:tc>
          <w:tcPr>
            <w:tcW w:w="0" w:type="auto"/>
          </w:tcPr>
          <w:p w14:paraId="7882F054" w14:textId="77777777" w:rsidR="00AB19E1" w:rsidRDefault="00000000">
            <w:pPr>
              <w:pStyle w:val="Compact"/>
            </w:pPr>
            <w:r>
              <w:t>1.97</w:t>
            </w:r>
          </w:p>
        </w:tc>
        <w:tc>
          <w:tcPr>
            <w:tcW w:w="0" w:type="auto"/>
          </w:tcPr>
          <w:p w14:paraId="524AB363" w14:textId="77777777" w:rsidR="00AB19E1" w:rsidRDefault="00000000">
            <w:pPr>
              <w:pStyle w:val="Compact"/>
            </w:pPr>
            <w:r>
              <w:t>2.10</w:t>
            </w:r>
          </w:p>
        </w:tc>
      </w:tr>
      <w:tr w:rsidR="00AB19E1" w14:paraId="4F2676DB" w14:textId="77777777">
        <w:tc>
          <w:tcPr>
            <w:tcW w:w="0" w:type="auto"/>
          </w:tcPr>
          <w:p w14:paraId="5F94936C" w14:textId="77777777" w:rsidR="00AB19E1" w:rsidRDefault="00000000">
            <w:pPr>
              <w:pStyle w:val="Compact"/>
            </w:pPr>
            <w:r>
              <w:t>Ханшийн хариу үйлдэл, 1 дэх улирал</w:t>
            </w:r>
          </w:p>
        </w:tc>
        <w:tc>
          <w:tcPr>
            <w:tcW w:w="0" w:type="auto"/>
          </w:tcPr>
          <w:p w14:paraId="61E872C5" w14:textId="77777777" w:rsidR="00AB19E1" w:rsidRDefault="00000000">
            <w:pPr>
              <w:pStyle w:val="Compact"/>
            </w:pPr>
            <w:r>
              <w:t>3.06</w:t>
            </w:r>
          </w:p>
        </w:tc>
        <w:tc>
          <w:tcPr>
            <w:tcW w:w="0" w:type="auto"/>
          </w:tcPr>
          <w:p w14:paraId="2D87D5EB" w14:textId="77777777" w:rsidR="00AB19E1" w:rsidRDefault="00000000">
            <w:pPr>
              <w:pStyle w:val="Compact"/>
            </w:pPr>
            <w:r>
              <w:t>3.16</w:t>
            </w:r>
          </w:p>
        </w:tc>
      </w:tr>
      <w:tr w:rsidR="00AB19E1" w14:paraId="435F6FA9" w14:textId="77777777">
        <w:tc>
          <w:tcPr>
            <w:tcW w:w="0" w:type="auto"/>
          </w:tcPr>
          <w:p w14:paraId="11AA8B46" w14:textId="77777777" w:rsidR="00AB19E1" w:rsidRDefault="00000000">
            <w:pPr>
              <w:pStyle w:val="Compact"/>
            </w:pPr>
            <w:r>
              <w:t>Банкны капитал, 20 дахь улирал</w:t>
            </w:r>
          </w:p>
        </w:tc>
        <w:tc>
          <w:tcPr>
            <w:tcW w:w="0" w:type="auto"/>
          </w:tcPr>
          <w:p w14:paraId="56ADBC7E" w14:textId="77777777" w:rsidR="00AB19E1" w:rsidRDefault="00000000">
            <w:pPr>
              <w:pStyle w:val="Compact"/>
            </w:pPr>
            <w:r>
              <w:t>−1.54</w:t>
            </w:r>
          </w:p>
        </w:tc>
        <w:tc>
          <w:tcPr>
            <w:tcW w:w="0" w:type="auto"/>
          </w:tcPr>
          <w:p w14:paraId="62251339" w14:textId="77777777" w:rsidR="00AB19E1" w:rsidRDefault="00000000">
            <w:pPr>
              <w:pStyle w:val="Compact"/>
            </w:pPr>
            <w:r>
              <w:t>−1.51</w:t>
            </w:r>
          </w:p>
        </w:tc>
      </w:tr>
      <w:tr w:rsidR="00AB19E1" w14:paraId="4ADBCFDA" w14:textId="77777777">
        <w:tc>
          <w:tcPr>
            <w:tcW w:w="0" w:type="auto"/>
          </w:tcPr>
          <w:p w14:paraId="3F4B8D32" w14:textId="77777777" w:rsidR="00AB19E1" w:rsidRDefault="00000000">
            <w:pPr>
              <w:pStyle w:val="Compact"/>
            </w:pPr>
            <w:r>
              <w:t>Спред, 12 дахь улирал</w:t>
            </w:r>
          </w:p>
        </w:tc>
        <w:tc>
          <w:tcPr>
            <w:tcW w:w="0" w:type="auto"/>
          </w:tcPr>
          <w:p w14:paraId="50749918" w14:textId="77777777" w:rsidR="00AB19E1" w:rsidRDefault="00000000">
            <w:pPr>
              <w:pStyle w:val="Compact"/>
            </w:pPr>
            <w:r>
              <w:t>1.09</w:t>
            </w:r>
          </w:p>
        </w:tc>
        <w:tc>
          <w:tcPr>
            <w:tcW w:w="0" w:type="auto"/>
          </w:tcPr>
          <w:p w14:paraId="24221712" w14:textId="77777777" w:rsidR="00AB19E1" w:rsidRDefault="00000000">
            <w:pPr>
              <w:pStyle w:val="Compact"/>
            </w:pPr>
            <w:r>
              <w:t>1.14</w:t>
            </w:r>
          </w:p>
        </w:tc>
      </w:tr>
    </w:tbl>
    <w:p w14:paraId="6DC1AE84" w14:textId="77777777" w:rsidR="00AB19E1" w:rsidRDefault="00000000">
      <w:pPr>
        <w:pStyle w:val="BodyText"/>
      </w:pPr>
      <w:r>
        <w:t>Тэмдэглэл: Хариу үйлдлийн функцийг нэг стандарт хазайлтын улсын эрсдэлийн шагналын шокод хувиар илэрхийлэв. Хоёр хувилбар зөвхөн тоо хэмжээний цувааны улирлын тохируулгаар ялгаатай бөгөөд логарифм өгөгдлийн нягтралыг харьцуулаагүй болно.</w:t>
      </w:r>
    </w:p>
    <w:p w14:paraId="3A50F35E" w14:textId="257F0CCB" w:rsidR="00AB19E1" w:rsidRDefault="00000000">
      <w:pPr>
        <w:pStyle w:val="BodyText"/>
      </w:pPr>
      <w:r>
        <w:t>Ийм</w:t>
      </w:r>
      <w:r w:rsidR="00AB24D0">
        <w:t>ээс</w:t>
      </w:r>
      <w:r>
        <w:t xml:space="preserve"> гол үр дүн нь өгөгдлийн улирлын нөлөөнөөс хамаараагүй болно. Эрсдэлийн шагналын тогтвортой байдал, дамжуулалтын чиглэл, хугацаа, спредийн оргил дөрвүүлээ хэвээр үлдэж, 3 хэсэгт тэмдэглэсэн улирлын үлдэгдэл нь бүлгийн дүгнэлтэд нөлөөлөөгүй нь батлагд</w:t>
      </w:r>
      <w:r w:rsidR="00AB24D0">
        <w:t>лаа</w:t>
      </w:r>
      <w:r>
        <w:t>.</w:t>
      </w:r>
      <w:bookmarkEnd w:id="0"/>
    </w:p>
    <w:sectPr w:rsidR="00AB19E1"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C008" w14:textId="77777777" w:rsidR="005C4218" w:rsidRDefault="005C4218">
      <w:pPr>
        <w:spacing w:line="240" w:lineRule="auto"/>
      </w:pPr>
      <w:r>
        <w:separator/>
      </w:r>
    </w:p>
  </w:endnote>
  <w:endnote w:type="continuationSeparator" w:id="0">
    <w:p w14:paraId="1340D379" w14:textId="77777777" w:rsidR="005C4218" w:rsidRDefault="005C42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3FD53CD6"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728BA273"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53AB0CB2"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6412E067"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9ABD" w14:textId="77777777" w:rsidR="005C4218" w:rsidRDefault="005C4218">
      <w:r>
        <w:separator/>
      </w:r>
    </w:p>
  </w:footnote>
  <w:footnote w:type="continuationSeparator" w:id="0">
    <w:p w14:paraId="7B84B473" w14:textId="77777777" w:rsidR="005C4218" w:rsidRDefault="005C4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212395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E1"/>
    <w:rsid w:val="004D05C0"/>
    <w:rsid w:val="005C4218"/>
    <w:rsid w:val="00AB19E1"/>
    <w:rsid w:val="00AB24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6D263"/>
  <w15:docId w15:val="{D626EB27-C385-4BA9-A021-6AC6D9E0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9172</TotalTime>
  <Pages>1</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2</cp:revision>
  <dcterms:created xsi:type="dcterms:W3CDTF">2026-09-01T22:05:00Z</dcterms:created>
  <dcterms:modified xsi:type="dcterms:W3CDTF">2026-09-01T23:21:00Z</dcterms:modified>
</cp:coreProperties>
</file>