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BFFA" w14:textId="77777777" w:rsidR="002D2DF3" w:rsidRDefault="00000000">
      <w:pPr>
        <w:pStyle w:val="Heading3"/>
        <w:numPr>
          <w:ilvl w:val="0"/>
          <w:numId w:val="0"/>
        </w:numPr>
      </w:pPr>
      <w:bookmarkStart w:id="0" w:name="X61a408d84990b299c184e80323a92805b763383"/>
      <w:r>
        <w:t>7.2 Гадаад валютын зээл ба зээлийн эрсдэл, макро зохистой бодлого</w:t>
      </w:r>
    </w:p>
    <w:p w14:paraId="0D92A833" w14:textId="21800C0C" w:rsidR="002D2DF3" w:rsidRDefault="00000000">
      <w:pPr>
        <w:pStyle w:val="FirstParagraph"/>
      </w:pPr>
      <w:r>
        <w:t xml:space="preserve">Өргөтгөсөн загварт гадаад валют хоёр газарт орсон бөгөөд тэвчээртэй өрх төгрөгийн болон гадаад валютын хадгаламжийг тэгшитгэл 2.5, 2.6-аар хуваарилж, </w:t>
      </w:r>
      <w:r w:rsidR="00400BE3" w:rsidRPr="00400BE3">
        <w:t>бөөний нэгж тэгшитгэл 2.34-ийн дагуу гадаадаас санхүүжилт татна</w:t>
      </w:r>
      <w:r>
        <w:t xml:space="preserve"> Зээлийн талд харин гадаад валют огт байхгүй бөгөөд тэвчээргүй өрх, аж ахуй эрхлэгч хоёулаа зөвхөн төгрөгөөр зээлдэнэ. </w:t>
      </w:r>
      <w:r w:rsidR="00400BE3">
        <w:rPr>
          <w:lang w:val="mn-MN"/>
        </w:rPr>
        <w:t>Валютын х</w:t>
      </w:r>
      <w:r>
        <w:t>анш суларахад банкны балансын гадаад валютын хэсэг дахин үнэлэгдэх боловч зээлдэгчийн балансад ямар ч шууд нөлөө гарахгүй.</w:t>
      </w:r>
    </w:p>
    <w:p w14:paraId="4E4B5FDA" w14:textId="13C303CF" w:rsidR="002D2DF3" w:rsidRDefault="00400BE3">
      <w:pPr>
        <w:pStyle w:val="BodyText"/>
      </w:pPr>
      <w:r w:rsidRPr="00400BE3">
        <w:t>Гадаад валют зөвхөн хадгаламжийн талд байгаа нь загварын дамжуулалтыг нэг талд хязгаарлана.</w:t>
      </w:r>
      <w:r w:rsidR="00000000">
        <w:t xml:space="preserve"> Гадаад шок банкны капиталаар дамжин зээлийн нөхцөлд шилжих боловч зээлдэгчийн өрийн ачаанд шууд хүрэхгүй </w:t>
      </w:r>
      <w:r>
        <w:t>гэсэн үг</w:t>
      </w:r>
      <w:r w:rsidR="00000000">
        <w:t>. 5.4 хэсэгт долларжилтын түвшин өндөр байхад дамжуулалт 1.4 дахин хүчирхэг болохыг харуулсан бол уг тоо зөвхөн хадгаламжийн долларжилтоос гарсан юм. Зээлдэгчийн валютын үл нийцэл нэмэгдвэл коэффициент илүү өндөр байх магадлалтай.</w:t>
      </w:r>
    </w:p>
    <w:p w14:paraId="3CA9184B" w14:textId="02A147D2" w:rsidR="002D2DF3" w:rsidRDefault="00400BE3">
      <w:pPr>
        <w:pStyle w:val="BodyText"/>
      </w:pPr>
      <w:r w:rsidRPr="00400BE3">
        <w:t>Уг үл нийцлийг загварчлахад хоёр зүйл шаардлагатай болно.</w:t>
      </w:r>
      <w:r w:rsidR="00000000">
        <w:t xml:space="preserve"> Нэгдүгээрт, тэвчээргүй өрх, аж ахуй эрхлэгч</w:t>
      </w:r>
      <w:r>
        <w:t xml:space="preserve"> хоёул дотоод, гадаад валютаар</w:t>
      </w:r>
      <w:r w:rsidR="00000000">
        <w:t xml:space="preserve"> </w:t>
      </w:r>
      <w:r>
        <w:rPr>
          <w:lang w:val="mn-MN"/>
        </w:rPr>
        <w:t>тус тус зээл авдаг</w:t>
      </w:r>
      <w:r w:rsidR="00000000">
        <w:t xml:space="preserve">, </w:t>
      </w:r>
      <w:r>
        <w:t xml:space="preserve">хоёр агентын </w:t>
      </w:r>
      <w:r w:rsidR="00000000">
        <w:t xml:space="preserve">барьцааны хязгаарлалтад </w:t>
      </w:r>
      <w:r>
        <w:t>гадаад валюттай хэсэг нэмэгдэнэ</w:t>
      </w:r>
      <w:r w:rsidR="00000000">
        <w:t>. Хоёрдугаарт, зээлийн валютын бүтцийг тодорхойлох механизм хэрэгтэй бөгөөд тэр нь экзоген процесс эсвэл эндоген сонголт байж болно.</w:t>
      </w:r>
    </w:p>
    <w:p w14:paraId="3E15D6E1" w14:textId="6ADFA94E" w:rsidR="002D2DF3" w:rsidRDefault="006C7DE7">
      <w:pPr>
        <w:pStyle w:val="BodyText"/>
      </w:pPr>
      <w:r w:rsidRPr="006C7DE7">
        <w:t xml:space="preserve">Судлагдсан байдалд хоёр төрлийн зээлдэгчийн валютын зээл тус тусад нь авч үзсэн </w:t>
      </w:r>
      <w:r>
        <w:t xml:space="preserve">байдаг </w:t>
      </w:r>
      <w:r w:rsidRPr="006C7DE7">
        <w:t xml:space="preserve">боловч хоёуланг нэг загварт нэгтгэсэн </w:t>
      </w:r>
      <w:r>
        <w:t>судалгаа</w:t>
      </w:r>
      <w:r w:rsidRPr="006C7DE7">
        <w:t xml:space="preserve"> ховор байна.</w:t>
      </w:r>
      <w:r w:rsidR="00000000">
        <w:t xml:space="preserve"> </w:t>
      </w:r>
      <w:r w:rsidR="000A6964" w:rsidRPr="000A6964">
        <w:t>Vitola, Ajevskis (2011) нар Gerali et al. (2010)-ын банкны бүтцийг хадгалж, өрх, аж ахуй эрхлэгч</w:t>
      </w:r>
      <w:r w:rsidR="000A6964">
        <w:t xml:space="preserve"> хоёр дотоод, гадаад валютаар зээл авдаг хэлбэрээр загварчилжээ</w:t>
      </w:r>
      <w:r w:rsidR="000A6964" w:rsidRPr="000A6964">
        <w:t xml:space="preserve">. </w:t>
      </w:r>
      <w:r w:rsidRPr="006C7DE7">
        <w:t xml:space="preserve">Гэвч тэдний загвар тогтмол </w:t>
      </w:r>
      <w:r>
        <w:t xml:space="preserve">валютын </w:t>
      </w:r>
      <w:r w:rsidRPr="006C7DE7">
        <w:t>ханшийн дэглэмтэй байсан тул ханшийн эрсдэл бүтцээрээ хаагдаж, 5.5 хэсэгт тэмдэглэсэнчлэн банкны сектор гадаад шокыг хүчжүүлэхийн оронд сааруулдаг. Тийм нөхцөлд гадаад валютын зээл зээлдэгчийн өрийн ачаанд нэмэлт эрсдэл үүсгэхгүй болно.</w:t>
      </w:r>
    </w:p>
    <w:p w14:paraId="66E14336" w14:textId="48D20F76" w:rsidR="002D2DF3" w:rsidRDefault="00000000">
      <w:pPr>
        <w:pStyle w:val="BodyText"/>
      </w:pPr>
      <w:r>
        <w:t>Хөвөгч</w:t>
      </w:r>
      <w:r w:rsidR="006C7DE7">
        <w:t xml:space="preserve"> валюын ханшийн</w:t>
      </w:r>
      <w:r>
        <w:t xml:space="preserve"> дэглэм</w:t>
      </w:r>
      <w:r w:rsidR="006C7DE7">
        <w:t>д</w:t>
      </w:r>
      <w:r>
        <w:t xml:space="preserve"> өр</w:t>
      </w:r>
      <w:r w:rsidR="006C7DE7">
        <w:t>х</w:t>
      </w:r>
      <w:r>
        <w:t xml:space="preserve"> </w:t>
      </w:r>
      <w:r w:rsidR="006C7DE7">
        <w:t xml:space="preserve">гадаад </w:t>
      </w:r>
      <w:r>
        <w:t>валю</w:t>
      </w:r>
      <w:r w:rsidR="006C7DE7">
        <w:t>таар</w:t>
      </w:r>
      <w:r>
        <w:t xml:space="preserve"> зээл</w:t>
      </w:r>
      <w:r w:rsidR="006C7DE7">
        <w:t xml:space="preserve"> авдаг гэдгийг</w:t>
      </w:r>
      <w:r>
        <w:t xml:space="preserve"> Brzoza-Brzezina нар (2017) анх албан ёсоор загварчилсан юм. Тэдний загварт тэвчээргүй өрх төгрөгийн болон гадаад валютын зээлийг тогтмол орлуулалтын мэдрэмжтэй нийлмэл болгон авах бөгөөд барьцааны хязгаарлалт хоёуланг хамарна. Хоёр валют төгс бус орлуулагч гэсэн таамаглалыг зохиогчид өөрсдөө хялбаршуулсан хэлбэр гэж хүлээн зөвшөөрсөн байдаг. Kolasa (2022) уг таамаглалыг</w:t>
      </w:r>
      <w:r w:rsidR="006C7DE7">
        <w:t xml:space="preserve"> чөлөөлж,</w:t>
      </w:r>
      <w:r>
        <w:t xml:space="preserve"> эндоген</w:t>
      </w:r>
      <w:r w:rsidR="006C7DE7">
        <w:t xml:space="preserve"> хэлбэрээр загварчилж,</w:t>
      </w:r>
      <w:r>
        <w:t xml:space="preserve"> </w:t>
      </w:r>
      <w:r w:rsidR="006C7DE7">
        <w:t>хөгжүүлжээ</w:t>
      </w:r>
      <w:r>
        <w:t>. Олон үеийн зээл шинээр авсан барьцаа дээр тогтох үед дотоод хүү өндөр байвал гадаад валютын зээл бодит төлбөрийг хойшлуулж, барьцааны хязгаарлалтаар тогтоох өрийн дээд хязгаарыг өсгөнө.</w:t>
      </w:r>
      <w:r w:rsidR="006C7DE7">
        <w:t xml:space="preserve"> </w:t>
      </w:r>
      <w:r w:rsidR="003F29BE">
        <w:t>Түүний</w:t>
      </w:r>
      <w:r w:rsidR="006C7DE7">
        <w:t xml:space="preserve"> </w:t>
      </w:r>
      <w:r>
        <w:t>загварт өрхийн валют руу хазайх хандлага нь хуримтлагдсан өрийн түвшинтэй хамт өсдөг.</w:t>
      </w:r>
    </w:p>
    <w:p w14:paraId="6ADC67C6" w14:textId="69A14BEF" w:rsidR="002D2DF3" w:rsidRDefault="00C64683">
      <w:pPr>
        <w:pStyle w:val="BodyText"/>
      </w:pPr>
      <w:r w:rsidRPr="00C64683">
        <w:t>Аж ахуй эрхлэгч гадаад валютаар зээл авдаг тохиолдлыг Gertler нар (2007) судалсан бөгөөд тэдний загварт өрийг гадаад валютаар илэрхийлэхэд хөрөнгө оруулалтын уналт дотоод валютын тохиолдлоос хоёр дахин том гарчээ.</w:t>
      </w:r>
      <w:r w:rsidR="00000000">
        <w:t xml:space="preserve"> Ханш суларахад аж ахуй эрхлэгчийн цэвэр хөрөнгө буурч, санхүүгийн хурдасгуур хүчжих замаар хөрөнгө оруулалтын уналт гүнзгийрдэг. Уг үр дүн нь энэ бүлгийн загварт </w:t>
      </w:r>
      <w:r>
        <w:t xml:space="preserve">гадаад </w:t>
      </w:r>
      <w:r w:rsidR="00000000">
        <w:t>валюты</w:t>
      </w:r>
      <w:r>
        <w:t>н зээлийг шинээр</w:t>
      </w:r>
      <w:r w:rsidR="00000000">
        <w:t xml:space="preserve"> </w:t>
      </w:r>
      <w:r>
        <w:t>оруулж, өргөтгөхөд</w:t>
      </w:r>
      <w:r w:rsidR="00000000">
        <w:t xml:space="preserve"> </w:t>
      </w:r>
      <w:r w:rsidR="004B0326">
        <w:t>банкны капиталаар дамжих сувгаас</w:t>
      </w:r>
      <w:r w:rsidR="00000000">
        <w:t xml:space="preserve"> гадна хөрөнгө оруулалтын суваг нэмэгдэхийг илэрхийлнэ.</w:t>
      </w:r>
    </w:p>
    <w:p w14:paraId="24860C1F" w14:textId="3874DE49" w:rsidR="002D2DF3" w:rsidRDefault="00000000">
      <w:pPr>
        <w:pStyle w:val="BodyText"/>
      </w:pPr>
      <w:r>
        <w:t>Бодлогын үнэлгээнд хоёр эсрэг хүчийг зэрэг авч үзэх шаардлагатай болно. Brzoza-Brzezina нар (2017) валютын зээл мөнгөний бодлогын дамжуулалтыг сулруулж, эрсдэлийн шагналын шок давамгайлах үед сайн сайхныг бууруулдаг гэж дүгн</w:t>
      </w:r>
      <w:r w:rsidR="00C64683">
        <w:t>эжээ</w:t>
      </w:r>
      <w:r>
        <w:t>.</w:t>
      </w:r>
      <w:r w:rsidR="00C64683">
        <w:t xml:space="preserve"> Харин</w:t>
      </w:r>
      <w:r>
        <w:t xml:space="preserve"> Dalgic (2024) өрхийн долларын хадгаламж нь орлогын хэлбэлзлээс хамгаалах даатгалын үүрэгтэй </w:t>
      </w:r>
      <w:r>
        <w:lastRenderedPageBreak/>
        <w:t xml:space="preserve">бөгөөд түүнийг албадан хязгаарлах нь </w:t>
      </w:r>
      <w:r w:rsidR="004B0326">
        <w:t>түүний</w:t>
      </w:r>
      <w:r>
        <w:t xml:space="preserve"> калибрацд сайн сайхныг бууруулахыг харуул</w:t>
      </w:r>
      <w:r w:rsidR="004B0326">
        <w:t>сан байна</w:t>
      </w:r>
      <w:r>
        <w:t>. Иймд 5.4 хэсэгт олсон хүчжүүлэлт нь өөрөө бодлогын зөвлөмж болохгүй тул долларжилтын даатгалын үнэ цэнийг хамт хэмжих шаардлагатай болно.</w:t>
      </w:r>
      <w:bookmarkEnd w:id="0"/>
    </w:p>
    <w:sectPr w:rsidR="002D2DF3"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ECC9" w14:textId="77777777" w:rsidR="00CA4EF2" w:rsidRDefault="00CA4EF2">
      <w:pPr>
        <w:spacing w:line="240" w:lineRule="auto"/>
      </w:pPr>
      <w:r>
        <w:separator/>
      </w:r>
    </w:p>
  </w:endnote>
  <w:endnote w:type="continuationSeparator" w:id="0">
    <w:p w14:paraId="33F26788" w14:textId="77777777" w:rsidR="00CA4EF2" w:rsidRDefault="00CA4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2DE49249"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34CCCE5E"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4A121DDB"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3410312D"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0401" w14:textId="77777777" w:rsidR="00CA4EF2" w:rsidRDefault="00CA4EF2">
      <w:r>
        <w:separator/>
      </w:r>
    </w:p>
  </w:footnote>
  <w:footnote w:type="continuationSeparator" w:id="0">
    <w:p w14:paraId="649838CD" w14:textId="77777777" w:rsidR="00CA4EF2" w:rsidRDefault="00CA4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99938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F3"/>
    <w:rsid w:val="000A6964"/>
    <w:rsid w:val="002D2DF3"/>
    <w:rsid w:val="003314D0"/>
    <w:rsid w:val="003F29BE"/>
    <w:rsid w:val="00400BE3"/>
    <w:rsid w:val="004B0326"/>
    <w:rsid w:val="006C7DE7"/>
    <w:rsid w:val="00C64683"/>
    <w:rsid w:val="00CA4E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1FB6"/>
  <w15:docId w15:val="{AB3751CF-5B25-4136-94F1-97E0EEB4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9210</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4</cp:revision>
  <dcterms:created xsi:type="dcterms:W3CDTF">2026-09-03T14:26:00Z</dcterms:created>
  <dcterms:modified xsi:type="dcterms:W3CDTF">2026-09-03T16:35:00Z</dcterms:modified>
</cp:coreProperties>
</file>