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F0692" w14:textId="77777777" w:rsidR="00CD486B" w:rsidRDefault="00000000">
      <w:pPr>
        <w:pStyle w:val="Heading3"/>
        <w:numPr>
          <w:ilvl w:val="0"/>
          <w:numId w:val="0"/>
        </w:numPr>
      </w:pPr>
      <w:bookmarkStart w:id="0" w:name="X55e5bdc348f8e7d73259db9d04f855b0d1b21b3"/>
      <w:r>
        <w:t>6.2 The placement of the bank balance sheet shock</w:t>
      </w:r>
    </w:p>
    <w:p w14:paraId="4C9C002E" w14:textId="4573D7FF" w:rsidR="00CD486B" w:rsidRDefault="00EA2840">
      <w:pPr>
        <w:pStyle w:val="FirstParagraph"/>
      </w:pPr>
      <w:r w:rsidRPr="00EA2840">
        <w:t>In the original model, the bank balance sheet shock appears in identity 2.31 and has a direct effect on bank capital; in this subsection, however, the shock is included in the equation that deals with the accumulation of bank capital, equation 2.37. The shock then influences capital only indirectly, via the capital balance carried over from the previous period. Since both versions are identical in terms of calibration, priors, data, and chain settings, the only reason for any differences in the results must be the location of the shock.</w:t>
      </w:r>
    </w:p>
    <w:p w14:paraId="17BFC931" w14:textId="212FF3C9" w:rsidR="00CD486B" w:rsidRDefault="00000000">
      <w:pPr>
        <w:pStyle w:val="BodyText"/>
      </w:pPr>
      <w:r>
        <w:t>For the baseline</w:t>
      </w:r>
      <w:r w:rsidR="000747D3">
        <w:t>,</w:t>
      </w:r>
      <w:r>
        <w:t xml:space="preserve"> the log data density stands at 1801.3, and where the shock has been moved </w:t>
      </w:r>
      <w:r w:rsidR="000747D3">
        <w:t>to</w:t>
      </w:r>
      <w:r>
        <w:t xml:space="preserve"> 1802.7. That difference of 1.35 units is small. Because the scale of Kass and Raftery (1995) is drawn in twice the log difference, it falls at the lower edge of their positive category, which corresponds to a Bayes factor of about four. On that evidence</w:t>
      </w:r>
      <w:r w:rsidR="000747D3">
        <w:t>,</w:t>
      </w:r>
      <w:r>
        <w:t xml:space="preserve"> the data barely choose between the two placements.</w:t>
      </w:r>
    </w:p>
    <w:p w14:paraId="33962688" w14:textId="77777777" w:rsidR="00CD486B" w:rsidRDefault="00000000">
      <w:pPr>
        <w:pStyle w:val="BodyText"/>
      </w:pPr>
      <w:r>
        <w:t>Persistence in the country risk premium comes out at 0.850 in the one case and at 0.865 in the other, a difference of fifteen thousandths. Its 90 per cent interval narrows a little, from 0.133 to 0.122.</w:t>
      </w:r>
    </w:p>
    <w:p w14:paraId="2250FF0F" w14:textId="1461992E" w:rsidR="00CD486B" w:rsidRDefault="00000000">
      <w:pPr>
        <w:pStyle w:val="BodyText"/>
      </w:pPr>
      <w:r>
        <w:t>Neither the direction nor the timing of the mechanism changes. Under the country risk premium shock</w:t>
      </w:r>
      <w:r w:rsidR="000747D3">
        <w:t>,</w:t>
      </w:r>
      <w:r>
        <w:t xml:space="preserve"> the exchange rate weakens on impact by 3.06 per cent in both. Bank capital rises in the fourth quarter, turns negative from the eighth </w:t>
      </w:r>
      <w:r w:rsidR="000747D3">
        <w:t xml:space="preserve">quarter, </w:t>
      </w:r>
      <w:r>
        <w:t>and falls in the twentieth by 1.54 per cent in the baseline against 1.88 per cent where the shock has been moved. From the eighth quarter</w:t>
      </w:r>
      <w:r w:rsidR="000747D3">
        <w:t>,</w:t>
      </w:r>
      <w:r>
        <w:t xml:space="preserve"> the spread widens, peaking in the twelfth.</w:t>
      </w:r>
    </w:p>
    <w:p w14:paraId="18559926" w14:textId="7F3E399F" w:rsidR="00CD486B" w:rsidRDefault="00000000">
      <w:pPr>
        <w:pStyle w:val="BodyText"/>
      </w:pPr>
      <w:r>
        <w:t>What does weaken appreciably is the peak in the spread, which falls from 1.09 per cent in the baseline to 0.61 per cent under the alternative and is thus very nearly halved. Once the shock enters that equation</w:t>
      </w:r>
      <w:r w:rsidR="000747D3">
        <w:t>,</w:t>
      </w:r>
      <w:r>
        <w:t xml:space="preserve"> it accounts for the movement in capital on its own, and the path running through leverage weakens accordingly, which follows from the internal logic of the model. That path runs through the cost of departing from the target capital ratio, and the fall in that cost accounts directly for the weaker spread.</w:t>
      </w:r>
    </w:p>
    <w:p w14:paraId="26E11136" w14:textId="77777777" w:rsidR="00CD486B" w:rsidRDefault="00000000">
      <w:pPr>
        <w:pStyle w:val="BodyText"/>
      </w:pPr>
      <w:r>
        <w:t>Three parameters bear the logic out. Two of them are the persistence of the shock and its standard deviation, the one falling from 0.929 to 0.519 while the other doubles from 0.144 to 0.325. Third is the cost of departing from the target capital ratio, which falls threefold from 1.97 in the baseline estimation to 0.68. A shock that is now short-lived and large in amplitude leaves less need to hold the capital position in place.</w:t>
      </w:r>
    </w:p>
    <w:p w14:paraId="235E0642" w14:textId="77777777" w:rsidR="00CD486B" w:rsidRDefault="00000000">
      <w:pPr>
        <w:pStyle w:val="BodyText"/>
      </w:pPr>
      <w:r>
        <w:rPr>
          <w:b/>
          <w:bCs/>
        </w:rPr>
        <w:t>Table 13.</w:t>
      </w:r>
      <w:r>
        <w:t xml:space="preserve"> The effect of the placement of the bank balance sheet shock</w:t>
      </w:r>
    </w:p>
    <w:tbl>
      <w:tblPr>
        <w:tblStyle w:val="Table"/>
        <w:tblW w:w="0" w:type="auto"/>
        <w:tblLook w:val="0020" w:firstRow="1" w:lastRow="0" w:firstColumn="0" w:lastColumn="0" w:noHBand="0" w:noVBand="0"/>
      </w:tblPr>
      <w:tblGrid>
        <w:gridCol w:w="2827"/>
        <w:gridCol w:w="2888"/>
        <w:gridCol w:w="3232"/>
      </w:tblGrid>
      <w:tr w:rsidR="00CD486B" w14:paraId="029C831C" w14:textId="77777777" w:rsidTr="00CD486B">
        <w:trPr>
          <w:cnfStyle w:val="100000000000" w:firstRow="1" w:lastRow="0" w:firstColumn="0" w:lastColumn="0" w:oddVBand="0" w:evenVBand="0" w:oddHBand="0" w:evenHBand="0" w:firstRowFirstColumn="0" w:firstRowLastColumn="0" w:lastRowFirstColumn="0" w:lastRowLastColumn="0"/>
          <w:tblHeader/>
        </w:trPr>
        <w:tc>
          <w:tcPr>
            <w:tcW w:w="0" w:type="auto"/>
          </w:tcPr>
          <w:p w14:paraId="6922C9F2" w14:textId="77777777" w:rsidR="00CD486B" w:rsidRDefault="00CD486B">
            <w:pPr>
              <w:pStyle w:val="Compact"/>
            </w:pPr>
          </w:p>
        </w:tc>
        <w:tc>
          <w:tcPr>
            <w:tcW w:w="0" w:type="auto"/>
          </w:tcPr>
          <w:p w14:paraId="76AA3D0D" w14:textId="07C9DDE5" w:rsidR="00CD486B" w:rsidRDefault="00000000">
            <w:pPr>
              <w:pStyle w:val="Compact"/>
            </w:pPr>
            <w:r>
              <w:t>Baseline, identity (</w:t>
            </w:r>
            <w:r w:rsidR="00154A4E" w:rsidRPr="00154A4E">
              <w:t>equation</w:t>
            </w:r>
            <w:r w:rsidR="00154A4E">
              <w:t xml:space="preserve"> </w:t>
            </w:r>
            <w:r>
              <w:t>2.31)</w:t>
            </w:r>
          </w:p>
        </w:tc>
        <w:tc>
          <w:tcPr>
            <w:tcW w:w="0" w:type="auto"/>
          </w:tcPr>
          <w:p w14:paraId="7BF50A63" w14:textId="315BAB9E" w:rsidR="00CD486B" w:rsidRDefault="00000000">
            <w:pPr>
              <w:pStyle w:val="Compact"/>
            </w:pPr>
            <w:r>
              <w:t>Moved, accumulation (</w:t>
            </w:r>
            <w:r w:rsidR="00154A4E" w:rsidRPr="00154A4E">
              <w:t>equation</w:t>
            </w:r>
            <w:r w:rsidR="00154A4E">
              <w:t xml:space="preserve"> </w:t>
            </w:r>
            <w:r>
              <w:t>2.37)</w:t>
            </w:r>
          </w:p>
        </w:tc>
      </w:tr>
      <w:tr w:rsidR="00CD486B" w14:paraId="27C5532E" w14:textId="77777777">
        <w:tc>
          <w:tcPr>
            <w:tcW w:w="0" w:type="auto"/>
          </w:tcPr>
          <w:p w14:paraId="495E887C" w14:textId="77777777" w:rsidR="00CD486B" w:rsidRDefault="00000000">
            <w:pPr>
              <w:pStyle w:val="Compact"/>
            </w:pPr>
            <w:r>
              <w:t>Log data density</w:t>
            </w:r>
          </w:p>
        </w:tc>
        <w:tc>
          <w:tcPr>
            <w:tcW w:w="0" w:type="auto"/>
          </w:tcPr>
          <w:p w14:paraId="4AA6E98C" w14:textId="77777777" w:rsidR="00CD486B" w:rsidRDefault="00000000">
            <w:pPr>
              <w:pStyle w:val="Compact"/>
            </w:pPr>
            <w:r>
              <w:t>1801.3</w:t>
            </w:r>
          </w:p>
        </w:tc>
        <w:tc>
          <w:tcPr>
            <w:tcW w:w="0" w:type="auto"/>
          </w:tcPr>
          <w:p w14:paraId="005A6AF1" w14:textId="77777777" w:rsidR="00CD486B" w:rsidRDefault="00000000">
            <w:pPr>
              <w:pStyle w:val="Compact"/>
            </w:pPr>
            <w:r>
              <w:t>1802.7</w:t>
            </w:r>
          </w:p>
        </w:tc>
      </w:tr>
      <w:tr w:rsidR="00CD486B" w14:paraId="4B460228" w14:textId="77777777">
        <w:tc>
          <w:tcPr>
            <w:tcW w:w="0" w:type="auto"/>
          </w:tcPr>
          <w:p w14:paraId="5814C4F5" w14:textId="77777777" w:rsidR="00CD486B" w:rsidRDefault="00000000">
            <w:pPr>
              <w:pStyle w:val="Compact"/>
            </w:pPr>
            <w:r>
              <w:t>Persistence of the risk premium</w:t>
            </w:r>
          </w:p>
        </w:tc>
        <w:tc>
          <w:tcPr>
            <w:tcW w:w="0" w:type="auto"/>
          </w:tcPr>
          <w:p w14:paraId="2FD4CA8A" w14:textId="77777777" w:rsidR="00CD486B" w:rsidRDefault="00000000">
            <w:pPr>
              <w:pStyle w:val="Compact"/>
            </w:pPr>
            <w:r>
              <w:t>0.850</w:t>
            </w:r>
          </w:p>
        </w:tc>
        <w:tc>
          <w:tcPr>
            <w:tcW w:w="0" w:type="auto"/>
          </w:tcPr>
          <w:p w14:paraId="116ADA51" w14:textId="77777777" w:rsidR="00CD486B" w:rsidRDefault="00000000">
            <w:pPr>
              <w:pStyle w:val="Compact"/>
            </w:pPr>
            <w:r>
              <w:t>0.865</w:t>
            </w:r>
          </w:p>
        </w:tc>
      </w:tr>
      <w:tr w:rsidR="00CD486B" w14:paraId="25EACD14" w14:textId="77777777">
        <w:tc>
          <w:tcPr>
            <w:tcW w:w="0" w:type="auto"/>
          </w:tcPr>
          <w:p w14:paraId="57CDA33A" w14:textId="77777777" w:rsidR="00CD486B" w:rsidRDefault="00000000">
            <w:pPr>
              <w:pStyle w:val="Compact"/>
            </w:pPr>
            <w:r>
              <w:t>Width of the 90 per cent interval</w:t>
            </w:r>
          </w:p>
        </w:tc>
        <w:tc>
          <w:tcPr>
            <w:tcW w:w="0" w:type="auto"/>
          </w:tcPr>
          <w:p w14:paraId="06FBDB17" w14:textId="77777777" w:rsidR="00CD486B" w:rsidRDefault="00000000">
            <w:pPr>
              <w:pStyle w:val="Compact"/>
            </w:pPr>
            <w:r>
              <w:t>0.133</w:t>
            </w:r>
          </w:p>
        </w:tc>
        <w:tc>
          <w:tcPr>
            <w:tcW w:w="0" w:type="auto"/>
          </w:tcPr>
          <w:p w14:paraId="0710ADDE" w14:textId="77777777" w:rsidR="00CD486B" w:rsidRDefault="00000000">
            <w:pPr>
              <w:pStyle w:val="Compact"/>
            </w:pPr>
            <w:r>
              <w:t>0.122</w:t>
            </w:r>
          </w:p>
        </w:tc>
      </w:tr>
      <w:tr w:rsidR="00CD486B" w14:paraId="5D3F7BE5" w14:textId="77777777">
        <w:tc>
          <w:tcPr>
            <w:tcW w:w="0" w:type="auto"/>
          </w:tcPr>
          <w:p w14:paraId="3BCA5148" w14:textId="77777777" w:rsidR="00CD486B" w:rsidRDefault="00000000">
            <w:pPr>
              <w:pStyle w:val="Compact"/>
            </w:pPr>
            <w:r>
              <w:t>Exchange rate, first quarter</w:t>
            </w:r>
          </w:p>
        </w:tc>
        <w:tc>
          <w:tcPr>
            <w:tcW w:w="0" w:type="auto"/>
          </w:tcPr>
          <w:p w14:paraId="5B9D08E7" w14:textId="77777777" w:rsidR="00CD486B" w:rsidRDefault="00000000">
            <w:pPr>
              <w:pStyle w:val="Compact"/>
            </w:pPr>
            <w:r>
              <w:t>3.06</w:t>
            </w:r>
          </w:p>
        </w:tc>
        <w:tc>
          <w:tcPr>
            <w:tcW w:w="0" w:type="auto"/>
          </w:tcPr>
          <w:p w14:paraId="326B6647" w14:textId="77777777" w:rsidR="00CD486B" w:rsidRDefault="00000000">
            <w:pPr>
              <w:pStyle w:val="Compact"/>
            </w:pPr>
            <w:r>
              <w:t>3.06</w:t>
            </w:r>
          </w:p>
        </w:tc>
      </w:tr>
      <w:tr w:rsidR="00CD486B" w14:paraId="57B2D077" w14:textId="77777777">
        <w:tc>
          <w:tcPr>
            <w:tcW w:w="0" w:type="auto"/>
          </w:tcPr>
          <w:p w14:paraId="6780F2AE" w14:textId="77777777" w:rsidR="00CD486B" w:rsidRDefault="00000000">
            <w:pPr>
              <w:pStyle w:val="Compact"/>
            </w:pPr>
            <w:r>
              <w:t>Bank capital, twentieth quarter</w:t>
            </w:r>
          </w:p>
        </w:tc>
        <w:tc>
          <w:tcPr>
            <w:tcW w:w="0" w:type="auto"/>
          </w:tcPr>
          <w:p w14:paraId="58EAEC07" w14:textId="77777777" w:rsidR="00CD486B" w:rsidRDefault="00000000">
            <w:pPr>
              <w:pStyle w:val="Compact"/>
            </w:pPr>
            <w:r>
              <w:t>−1.54</w:t>
            </w:r>
          </w:p>
        </w:tc>
        <w:tc>
          <w:tcPr>
            <w:tcW w:w="0" w:type="auto"/>
          </w:tcPr>
          <w:p w14:paraId="476DBB2F" w14:textId="77777777" w:rsidR="00CD486B" w:rsidRDefault="00000000">
            <w:pPr>
              <w:pStyle w:val="Compact"/>
            </w:pPr>
            <w:r>
              <w:t>−1.88</w:t>
            </w:r>
          </w:p>
        </w:tc>
      </w:tr>
      <w:tr w:rsidR="00CD486B" w14:paraId="5DEFDAC4" w14:textId="77777777">
        <w:tc>
          <w:tcPr>
            <w:tcW w:w="0" w:type="auto"/>
          </w:tcPr>
          <w:p w14:paraId="01F44FA2" w14:textId="77777777" w:rsidR="00CD486B" w:rsidRDefault="00000000">
            <w:pPr>
              <w:pStyle w:val="Compact"/>
            </w:pPr>
            <w:r>
              <w:t>Spread, twelfth quarter</w:t>
            </w:r>
          </w:p>
        </w:tc>
        <w:tc>
          <w:tcPr>
            <w:tcW w:w="0" w:type="auto"/>
          </w:tcPr>
          <w:p w14:paraId="149FAAA2" w14:textId="77777777" w:rsidR="00CD486B" w:rsidRDefault="00000000">
            <w:pPr>
              <w:pStyle w:val="Compact"/>
            </w:pPr>
            <w:r>
              <w:t>1.09</w:t>
            </w:r>
          </w:p>
        </w:tc>
        <w:tc>
          <w:tcPr>
            <w:tcW w:w="0" w:type="auto"/>
          </w:tcPr>
          <w:p w14:paraId="4C61C5D8" w14:textId="77777777" w:rsidR="00CD486B" w:rsidRDefault="00000000">
            <w:pPr>
              <w:pStyle w:val="Compact"/>
            </w:pPr>
            <w:r>
              <w:t>0.61</w:t>
            </w:r>
          </w:p>
        </w:tc>
      </w:tr>
    </w:tbl>
    <w:p w14:paraId="55A86F3D" w14:textId="5B93C723" w:rsidR="00CD486B" w:rsidRDefault="00000000">
      <w:pPr>
        <w:pStyle w:val="BodyText"/>
      </w:pPr>
      <w:r>
        <w:t xml:space="preserve">Notes: The </w:t>
      </w:r>
      <w:r w:rsidR="00154A4E">
        <w:t xml:space="preserve">impulse </w:t>
      </w:r>
      <w:r>
        <w:t>responses are to a one standard deviation country risk premium shock and are expressed in per cent. The two versions differ only in where the bank balance sheet shock is placed.</w:t>
      </w:r>
    </w:p>
    <w:p w14:paraId="39C04F6D" w14:textId="77777777" w:rsidR="00CD486B" w:rsidRDefault="00000000">
      <w:pPr>
        <w:pStyle w:val="BodyText"/>
      </w:pPr>
      <w:r>
        <w:lastRenderedPageBreak/>
        <w:t>What the chapter finds therefore does not rest on that placement. Direction of transmission, timing and the persistence of the risk premium all stand, and only the force of the channel running through the spread is diminished. Since the data barely choose between the two, the baseline placement is retained. Where the shock sits does govern the level of the peak reported in Section 5.1, though not its sign or its timing. A weaker spread channel leaves the dollarisation result of Section 5.4 untouched, since the comparison there is drawn between two degrees of dollarisation with the shock left where it stands.</w:t>
      </w:r>
      <w:bookmarkEnd w:id="0"/>
    </w:p>
    <w:sectPr w:rsidR="00CD486B"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2371" w14:textId="77777777" w:rsidR="0093321C" w:rsidRDefault="0093321C">
      <w:pPr>
        <w:spacing w:line="240" w:lineRule="auto"/>
      </w:pPr>
      <w:r>
        <w:separator/>
      </w:r>
    </w:p>
  </w:endnote>
  <w:endnote w:type="continuationSeparator" w:id="0">
    <w:p w14:paraId="4293A0F0" w14:textId="77777777" w:rsidR="0093321C" w:rsidRDefault="00933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7A3136B4" w14:textId="77777777" w:rsidR="00E413F9"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4D0C9CB0" w14:textId="77777777" w:rsidR="00E413F9" w:rsidRPr="006E5144" w:rsidRDefault="00E41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7DC1CBA6" w14:textId="77777777" w:rsidR="00E413F9"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0EAEA967" w14:textId="77777777" w:rsidR="00E413F9" w:rsidRPr="006E5144" w:rsidRDefault="00E41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41F7" w14:textId="77777777" w:rsidR="0093321C" w:rsidRDefault="0093321C">
      <w:r>
        <w:separator/>
      </w:r>
    </w:p>
  </w:footnote>
  <w:footnote w:type="continuationSeparator" w:id="0">
    <w:p w14:paraId="4C11E16C" w14:textId="77777777" w:rsidR="0093321C" w:rsidRDefault="00933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161979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KzMDczsDQwtjAwNzNU0lEKTi0uzszPAykwqgUAhSBLPywAAAA="/>
  </w:docVars>
  <w:rsids>
    <w:rsidRoot w:val="00CD486B"/>
    <w:rsid w:val="000747D3"/>
    <w:rsid w:val="00154A4E"/>
    <w:rsid w:val="002D4EDA"/>
    <w:rsid w:val="005E50FD"/>
    <w:rsid w:val="0093321C"/>
    <w:rsid w:val="00A55CBA"/>
    <w:rsid w:val="00A7282C"/>
    <w:rsid w:val="00AA3ECF"/>
    <w:rsid w:val="00CA1047"/>
    <w:rsid w:val="00CD486B"/>
    <w:rsid w:val="00E413F9"/>
    <w:rsid w:val="00EA28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D933D"/>
  <w15:docId w15:val="{35E63A16-C359-4841-9B4C-9B5CFC73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9179</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4</cp:revision>
  <dcterms:created xsi:type="dcterms:W3CDTF">2026-08-31T21:33:00Z</dcterms:created>
  <dcterms:modified xsi:type="dcterms:W3CDTF">2026-08-31T22:15:00Z</dcterms:modified>
</cp:coreProperties>
</file>