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B4928" w14:textId="77777777" w:rsidR="00A626C8" w:rsidRDefault="00000000">
      <w:pPr>
        <w:pStyle w:val="Heading2"/>
      </w:pPr>
      <w:bookmarkStart w:id="0" w:name="эх-загвартай-харьцуулах-нь"/>
      <w:r>
        <w:t>5.5 Эх загвартай харьцуулах нь</w:t>
      </w:r>
    </w:p>
    <w:p w14:paraId="0F726385" w14:textId="6A5DBAFA" w:rsidR="00A626C8" w:rsidRDefault="00000000">
      <w:pPr>
        <w:pStyle w:val="FirstParagraph"/>
      </w:pPr>
      <w:r>
        <w:t>Өмнөх дөрвөн дэд хэсэг өргөтгөлийн ач холбогдлыг үр дүнгээр нь харууллаа. Гадаад шок банкны балансаар дамжин зээлийн нөхцөлд шилждэг, уг дамжуулалт хойшилж илэрдэг, долларжилтын түвшин түүний хүчийг тодорхойлдог болохыг т</w:t>
      </w:r>
      <w:r w:rsidR="0033227B">
        <w:rPr>
          <w:lang w:val="mn-MN"/>
        </w:rPr>
        <w:t>оон шинжилгээгээр харууллаа</w:t>
      </w:r>
      <w:r>
        <w:t>. Энэ дэд хэсэг өөр асуултад хариулна. Тодруулбал, өргөтгөл эх загварыг бүтцийн хувьд юугаар өөрчилсөн, мөн ойролцоо загваруудаас яагаад ялгаатай болохыг тэгшитгэлийн түвшинд харуулна.</w:t>
      </w:r>
    </w:p>
    <w:p w14:paraId="32608C94" w14:textId="77777777" w:rsidR="00A626C8" w:rsidRDefault="00000000">
      <w:pPr>
        <w:pStyle w:val="BodyText"/>
      </w:pPr>
      <w:r>
        <w:t>Ийм харьцуулалт шаардлагатай байгаагийн шалтгаан энгийн юм. Балансын үл тохирооны загварууд ерөнхий тодорхойлолтоороо ижил төстэй харагддаг бөгөөд банк гадаад валютаар санхүүждэг, ханш сулрахад баланс доройтдог гэсэн өгүүлэмж тэдгээрт бүгдэд нь байдаг. Гэвч тэрхүү өгүүлэмжийг ямар тэгшитгэлээр хэрэгжүүлснээс дамжуулалтын чиглэл, хүч хоёулаа хамаарна. Иймд ялгааг үгээр бус, тэгшитгэлээр тодорхойлох нь зүйтэй.</w:t>
      </w:r>
    </w:p>
    <w:p w14:paraId="7512E711" w14:textId="28C409FC" w:rsidR="0033227B" w:rsidRDefault="00000000">
      <w:pPr>
        <w:pStyle w:val="BodyText"/>
      </w:pPr>
      <w:r>
        <w:t>Аргачлалын хувьд хоёр зүйлийг тэмдэглэе. Загвар нь эх загварыг тусгай тохиолдол болгон агуулдаг болохыг 2.7 хэсэгт нотолсон бөгөөд хаалттай горимд гадаад шок огт байхгүй тул энд харьцуулалтыг тэдгээрийн хариу үйлдлээр бус, бүтцийн түвшинд гүйцэтгэв. Түүнчлэн харьцуулалтыг эх загвараар хязгаарлахгүй, банкны балансад үл тохироо байрлуулсан ойролцоо загваруудыг хамруулав.</w:t>
      </w:r>
      <w:r w:rsidR="0033227B">
        <w:t xml:space="preserve"> </w:t>
      </w:r>
      <w:r w:rsidR="0033227B">
        <w:t>Ийнхүү бүлгийн хувь нэмрийг өмнөх дэд хэсгүүдийн үр дүнгээр бус, загварын бүтцээр нь тодотгоно.</w:t>
      </w:r>
    </w:p>
    <w:p w14:paraId="7419F714" w14:textId="77777777" w:rsidR="00A626C8" w:rsidRDefault="00000000">
      <w:pPr>
        <w:pStyle w:val="Heading3"/>
      </w:pPr>
      <w:bookmarkStart w:id="1" w:name="эх-загварын-банкны-блок-ба-өргөтгөл"/>
      <w:r>
        <w:t>5.5.1 Эх загварын банкны блок ба өргөтгөл</w:t>
      </w:r>
    </w:p>
    <w:p w14:paraId="2328BE84" w14:textId="1360B653" w:rsidR="00A626C8" w:rsidRDefault="00000000">
      <w:pPr>
        <w:pStyle w:val="FirstParagraph"/>
      </w:pPr>
      <w:r>
        <w:t>Эх загварын банк гурван нэгжээс бүрдэнэ. Хоёр жижиглэнгийн салбар зээл, хадгаламжийн хүүг монополь</w:t>
      </w:r>
      <w:r w:rsidR="00534EC6">
        <w:t>т</w:t>
      </w:r>
      <w:r>
        <w:t xml:space="preserve"> өрсөлдөөнт нөхцөлд тогтоох бөгөөд бөөний нэгж капиталын байрлалыг удирдана. </w:t>
      </w:r>
      <w:r w:rsidR="00534EC6">
        <w:t xml:space="preserve">Шокын дамжуулалтыг </w:t>
      </w:r>
      <w:r w:rsidR="00534EC6">
        <w:t>дараах</w:t>
      </w:r>
      <w:r w:rsidR="00534EC6">
        <w:t xml:space="preserve"> гурван тэгшитгэл тодорхойлдог тул тэднийг эхлээд авч үзье.</w:t>
      </w:r>
    </w:p>
    <w:p w14:paraId="6D21985B" w14:textId="0538B147" w:rsidR="00A626C8" w:rsidRDefault="00000000">
      <w:pPr>
        <w:pStyle w:val="BodyText"/>
      </w:pPr>
      <w:r>
        <w:t xml:space="preserve">Эхнийх </w:t>
      </w:r>
      <w:r w:rsidR="00424EE7">
        <w:t>тэгшитгэл</w:t>
      </w:r>
      <w:r>
        <w:t xml:space="preserve"> балансын адилтгал бөгөөд эх загварт</w:t>
      </w:r>
    </w:p>
    <w:p w14:paraId="3CDEC30F" w14:textId="77777777" w:rsidR="00A626C8"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b</m:t>
              </m:r>
            </m:sup>
          </m:sSubSup>
        </m:oMath>
      </m:oMathPara>
    </w:p>
    <w:p w14:paraId="48EDF4C9" w14:textId="25107D5E" w:rsidR="00A626C8" w:rsidRDefault="00000000">
      <w:pPr>
        <w:pStyle w:val="FirstParagraph"/>
      </w:pPr>
      <w:r>
        <w:t xml:space="preserve">хэлбэртэй байна. Зээл нь хадгаламж, банкны капиталын нийлбэртэй тэнцэнэ. </w:t>
      </w:r>
      <w:r w:rsidR="00534EC6">
        <w:t>Тодруулбал, Тодруулбал, банкны актив, пассив хоёр тэнцэх нөхцөл юм. Активын талд зээл, пассивын талд хадгаламж, капитал хоёр орно.</w:t>
      </w:r>
    </w:p>
    <w:p w14:paraId="6BD490CB" w14:textId="73DEA31F" w:rsidR="00A626C8" w:rsidRDefault="00000000">
      <w:pPr>
        <w:pStyle w:val="BodyText"/>
      </w:pPr>
      <w:r>
        <w:t xml:space="preserve">Хоёр дахь </w:t>
      </w:r>
      <w:r w:rsidR="00424EE7">
        <w:t>тэгшитгэл</w:t>
      </w:r>
      <w:r>
        <w:t xml:space="preserve"> бөөний спредийг хөшүүрэгтэй холбох нөхцөл юм. Бөөний нэгж капиталын зорилтот харьцаанаас хазайхад квадрат зардал төлдөг бөгөөд оновчлолын нөхцөлөөс</w:t>
      </w:r>
    </w:p>
    <w:p w14:paraId="54C3AA6A" w14:textId="77777777" w:rsidR="00A626C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Kb</m:t>
              </m:r>
            </m:sub>
          </m:sSub>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b</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r>
                <m:rPr>
                  <m:sty m:val="p"/>
                </m:rP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b</m:t>
                  </m:r>
                </m:sup>
              </m:sSup>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b</m:t>
                          </m:r>
                        </m:sup>
                      </m:sSubSup>
                    </m:num>
                    <m:den>
                      <m:sSub>
                        <m:sSubPr>
                          <m:ctrlPr>
                            <w:rPr>
                              <w:rFonts w:ascii="Cambria Math" w:hAnsi="Cambria Math"/>
                            </w:rPr>
                          </m:ctrlPr>
                        </m:sSubPr>
                        <m:e>
                          <m:r>
                            <w:rPr>
                              <w:rFonts w:ascii="Cambria Math" w:hAnsi="Cambria Math"/>
                            </w:rPr>
                            <m:t>B</m:t>
                          </m:r>
                        </m:e>
                        <m:sub>
                          <m:r>
                            <w:rPr>
                              <w:rFonts w:ascii="Cambria Math" w:hAnsi="Cambria Math"/>
                            </w:rPr>
                            <m:t>t</m:t>
                          </m:r>
                        </m:sub>
                      </m:sSub>
                    </m:den>
                  </m:f>
                </m:e>
              </m:d>
            </m:e>
            <m:sup>
              <m:r>
                <w:rPr>
                  <w:rFonts w:ascii="Cambria Math" w:hAnsi="Cambria Math"/>
                </w:rPr>
                <m:t>2</m:t>
              </m:r>
            </m:sup>
          </m:sSup>
        </m:oMath>
      </m:oMathPara>
    </w:p>
    <w:p w14:paraId="716D8949" w14:textId="77777777" w:rsidR="00A626C8" w:rsidRDefault="00000000">
      <w:pPr>
        <w:pStyle w:val="FirstParagraph"/>
      </w:pPr>
      <w:r>
        <w:t>гэсэн холбоос гарна. Капитал буурч, хөшүүрэг өсөхөд спред өргөснө.</w:t>
      </w:r>
    </w:p>
    <w:p w14:paraId="12389B20" w14:textId="0B268E47" w:rsidR="00A626C8" w:rsidRDefault="00424EE7">
      <w:pPr>
        <w:pStyle w:val="BodyText"/>
      </w:pPr>
      <w:r>
        <w:t>Сүүлийн тэгшитгэл</w:t>
      </w:r>
      <w:r w:rsidR="00000000">
        <w:t xml:space="preserve"> капиталын хуримтлалын хуул</w:t>
      </w:r>
      <w:r>
        <w:t>ь</w:t>
      </w:r>
    </w:p>
    <w:p w14:paraId="20A3D9CB" w14:textId="77777777" w:rsidR="00A626C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b</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b</m:t>
                  </m:r>
                </m:sup>
              </m:sSup>
            </m:e>
          </m:d>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b</m:t>
                  </m:r>
                </m:sup>
              </m:sSubSup>
            </m:num>
            <m:den>
              <m:sSub>
                <m:sSubPr>
                  <m:ctrlPr>
                    <w:rPr>
                      <w:rFonts w:ascii="Cambria Math" w:hAnsi="Cambria Math"/>
                    </w:rPr>
                  </m:ctrlPr>
                </m:sSubPr>
                <m:e>
                  <m:r>
                    <w:rPr>
                      <w:rFonts w:ascii="Cambria Math" w:hAnsi="Cambria Math"/>
                    </w:rPr>
                    <m:t>π</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j</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b</m:t>
                  </m:r>
                </m:sup>
              </m:sSubSup>
            </m:num>
            <m:den>
              <m:sSub>
                <m:sSubPr>
                  <m:ctrlPr>
                    <w:rPr>
                      <w:rFonts w:ascii="Cambria Math" w:hAnsi="Cambria Math"/>
                    </w:rPr>
                  </m:ctrlPr>
                </m:sSubPr>
                <m:e>
                  <m:r>
                    <w:rPr>
                      <w:rFonts w:ascii="Cambria Math" w:hAnsi="Cambria Math"/>
                    </w:rPr>
                    <m:t>π</m:t>
                  </m:r>
                </m:e>
                <m:sub>
                  <m:r>
                    <w:rPr>
                      <w:rFonts w:ascii="Cambria Math" w:hAnsi="Cambria Math"/>
                    </w:rPr>
                    <m:t>t</m:t>
                  </m:r>
                </m:sub>
              </m:sSub>
            </m:den>
          </m:f>
        </m:oMath>
      </m:oMathPara>
    </w:p>
    <w:p w14:paraId="48E6F8F1" w14:textId="77777777" w:rsidR="00A626C8" w:rsidRDefault="00000000">
      <w:pPr>
        <w:pStyle w:val="FirstParagraph"/>
      </w:pPr>
      <w:r>
        <w:t xml:space="preserve">гэж бичигдэнэ. Банкны ашиг бүхэлдээ хуримтлагдах бөгөөд </w:t>
      </w:r>
      <m:oMath>
        <m:sSup>
          <m:sSupPr>
            <m:ctrlPr>
              <w:rPr>
                <w:rFonts w:ascii="Cambria Math" w:hAnsi="Cambria Math"/>
              </w:rPr>
            </m:ctrlPr>
          </m:sSupPr>
          <m:e>
            <m:r>
              <w:rPr>
                <w:rFonts w:ascii="Cambria Math" w:hAnsi="Cambria Math"/>
              </w:rPr>
              <m:t>δ</m:t>
            </m:r>
          </m:e>
          <m:sup>
            <m:r>
              <w:rPr>
                <w:rFonts w:ascii="Cambria Math" w:hAnsi="Cambria Math"/>
              </w:rPr>
              <m:t>b</m:t>
            </m:r>
          </m:sup>
        </m:sSup>
      </m:oMath>
      <w:r>
        <w:t xml:space="preserve"> нь капиталын байрлалыг удирдахад зарцуулагдах нөөцийг илэрхийлнэ. Ашиг өнөөдөр буурвал капитал маргааш буурна.</w:t>
      </w:r>
    </w:p>
    <w:p w14:paraId="5FE9183B" w14:textId="11A81B18" w:rsidR="00A626C8" w:rsidRDefault="00000000">
      <w:pPr>
        <w:pStyle w:val="BodyText"/>
      </w:pPr>
      <w:r>
        <w:t>Энэ бүлгийн өргөтгөл эдгээр гурван тэгшитгэлээс хоёрыг өөрчилж, дээр нь хоёр шинэ нөхцөл нэмсэн болно. Балансын адилтгал 2.31 хэлбэрт шилжиж, гадаад валютын хадгаламж, гадаад зээл хоёр нэмэгдэхээс гадна тэдгээр нь ханшаар үржигдэнэ. Спредийн нөхцөл 2.33 болж, баруун гар талд хоёр дахь гишүүн гарч ирнэ. Уг гишүүн нь гадаад зээлийн харьцаа зорилтот түвшнээсээ хазайхад төлөх зардлаас урган гарах бөгөөд зээл тэлэхэд капиталын харьцаа, гадаад зээлийн харьцаа хоёр зэрэг өөрчлөгдөж, хоёр зардал зэрэг үүсдэгийг илэрхийлнэ. Капиталын хуримтлалын хууль харин 2.37-д хэлбэрээрээ хэвээр үлдэнэ.</w:t>
      </w:r>
    </w:p>
    <w:p w14:paraId="0C5371BE" w14:textId="1E13BE8B" w:rsidR="00A626C8" w:rsidRDefault="00000000">
      <w:pPr>
        <w:pStyle w:val="BodyText"/>
      </w:pPr>
      <w:r>
        <w:t xml:space="preserve">Шинээр нэмэгдсэн хоёр нөхцөл эх загварт огт аналоггүй юм. Нөхцөл 2.34 нь гадаад зээлийн сонголтыг тодорхойлох бөгөөд ханшийн өөрчлөлтөөр залруулсан гадаад санхүүжилтийн өртгийг дотоодын бодлогын хүү, портфелийн зардалтай тэнцүүлнэ. </w:t>
      </w:r>
      <w:r w:rsidR="00571348">
        <w:t>Харин н</w:t>
      </w:r>
      <w:r>
        <w:t>өхцөл 2.35 гадаад валютын хоёр эх үүсвэрийн харьцангуй өртгийг тодорхойлно.</w:t>
      </w:r>
    </w:p>
    <w:p w14:paraId="783F457C" w14:textId="77777777" w:rsidR="00A626C8" w:rsidRDefault="00000000">
      <w:pPr>
        <w:pStyle w:val="BodyText"/>
      </w:pPr>
      <w:r>
        <w:t xml:space="preserve">Уг өөрчлөлтийн үр дагавар тэгшитгэлийн тооноос хамаагүй том юм. Ханш сулрахад балансын адилтгал дахь </w:t>
      </w:r>
      <m:oMath>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m:t>
            </m:r>
          </m:sup>
        </m:sSubSup>
      </m:oMath>
      <w:r>
        <w:t xml:space="preserve"> болон </w:t>
      </w:r>
      <m:oMath>
        <m:sSub>
          <m:sSubPr>
            <m:ctrlPr>
              <w:rPr>
                <w:rFonts w:ascii="Cambria Math" w:hAnsi="Cambria Math"/>
              </w:rPr>
            </m:ctrlPr>
          </m:sSubPr>
          <m:e>
            <m:r>
              <w:rPr>
                <w:rFonts w:ascii="Cambria Math" w:hAnsi="Cambria Math"/>
              </w:rPr>
              <m:t>e</m:t>
            </m:r>
          </m:e>
          <m:sub>
            <m:r>
              <w:rPr>
                <w:rFonts w:ascii="Cambria Math" w:hAnsi="Cambria Math"/>
              </w:rPr>
              <m:t>t</m:t>
            </m:r>
          </m:sub>
        </m:sSub>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oMath>
      <w:r>
        <w:t xml:space="preserve"> гишүүд өсөх бөгөөд адилтгалыг хангахын тулд капитал шахагдана. Улмаар спредийн нөхцөлөөр спред эндогенээр өргөсч, хуримтлалын хуулиар уг доройтол дараагийн үеүдэд шилжинэ. Ийнхүү 5.1 хэсэгт үзүүлсэн ханшнаас зээл рүү чиглэсэн гинж нь балансын адилтгал болон спредийн нөхцөлд хийсэн хоёр өөрчлөлтөөс урган гарч байна.</w:t>
      </w:r>
    </w:p>
    <w:p w14:paraId="2E59A07B" w14:textId="5FE0A653" w:rsidR="00A626C8" w:rsidRDefault="00220D0B">
      <w:pPr>
        <w:pStyle w:val="BodyText"/>
      </w:pPr>
      <w:r>
        <w:t xml:space="preserve">Gerali нар (2010) </w:t>
      </w:r>
      <w:r w:rsidR="00000000">
        <w:t>өөрсдөө банкны капитал зээлийн нийлүүлэлтэд гол үүрэгтэй бөгөөд бодит ба санхүүгийн талын хооронд эргэх холбоо үүсгэж болзошгүй гэж тэмдэглэсэн байдаг. Энэ бүлгийн өргөтгөл тэрхүү эргэх холбоонд гуравдахь оролт болох ханшийг нэмж байгаа юм.</w:t>
      </w:r>
    </w:p>
    <w:p w14:paraId="3F6E6108" w14:textId="77777777" w:rsidR="00A626C8" w:rsidRDefault="00000000">
      <w:pPr>
        <w:pStyle w:val="Heading3"/>
      </w:pPr>
      <w:bookmarkStart w:id="2" w:name="дамжуулалтын-хэмжээ-ба-хугацаа"/>
      <w:bookmarkEnd w:id="1"/>
      <w:r>
        <w:t>5.5.2 Дамжуулалтын хэмжээ ба хугацаа</w:t>
      </w:r>
    </w:p>
    <w:p w14:paraId="088D3B4A" w14:textId="522A4ACF" w:rsidR="00A626C8" w:rsidRDefault="00000000">
      <w:pPr>
        <w:pStyle w:val="FirstParagraph"/>
      </w:pPr>
      <w:r>
        <w:t xml:space="preserve">Тэгшитгэлийн </w:t>
      </w:r>
      <w:r w:rsidR="00220D0B">
        <w:t xml:space="preserve">эдгээр </w:t>
      </w:r>
      <w:r>
        <w:t xml:space="preserve">ялгаа тоон үр дүнд хэрхэн илэрснийг 5.1 хэсэгт </w:t>
      </w:r>
      <w:r w:rsidR="00220D0B">
        <w:t>авч үзсэн</w:t>
      </w:r>
      <w:r>
        <w:t xml:space="preserve"> хариу үйлдл</w:t>
      </w:r>
      <w:r w:rsidR="00220D0B">
        <w:t>ийгфункцээс тодорхой</w:t>
      </w:r>
      <w:r>
        <w:t xml:space="preserve"> харж болно. Хаалттай горимд гадаад шок огт байхгүй тул эрсдэлийн шагналын шокын хариу үйлдлий</w:t>
      </w:r>
      <w:r w:rsidR="00220D0B">
        <w:t>н функцийг</w:t>
      </w:r>
      <w:r>
        <w:t xml:space="preserve"> шууд тулгах боломжгүй боловч механизмын хэмжээ, хугацааг эх загварын дотоод шоктой харьцуулж болно.</w:t>
      </w:r>
    </w:p>
    <w:p w14:paraId="2D282F05" w14:textId="77777777" w:rsidR="00A626C8" w:rsidRDefault="00000000">
      <w:pPr>
        <w:pStyle w:val="BodyText"/>
      </w:pPr>
      <w:r>
        <w:t>Хэмжээний хувьд эрсдэлийн шагналын шок банкны капиталыг арван долоо дахь улиралд 1.6 хувиар бууруулж, спредийг арван гурав дахь улиралд 1.1 хувиар өргөсгөнө. Эх загвараас өвлөсөн банкны балансын шок харин капиталыг хорь дахь улиралд 1.2 хувиар өсгөж, спредийг хоёр дахь улиралд 1.6 хувиар нарийсгана. Хоёр шокын хэмжээ ижил зэрэглэлд байгаа нь ханшаар дамжих шинэ суваг нь эх загварын санхүүгийн шоктой эн зэрэгцэх хүчтэй болохыг харуулна.</w:t>
      </w:r>
    </w:p>
    <w:p w14:paraId="79A0A1F0" w14:textId="0159D2AB" w:rsidR="00A626C8" w:rsidRDefault="00000000">
      <w:pPr>
        <w:pStyle w:val="BodyText"/>
      </w:pPr>
      <w:r>
        <w:t>Хугацааны</w:t>
      </w:r>
      <w:r w:rsidR="00220D0B">
        <w:t xml:space="preserve"> хоцрогдлын</w:t>
      </w:r>
      <w:r>
        <w:t xml:space="preserve"> хувьд ялгаа илүү тод</w:t>
      </w:r>
      <w:r w:rsidR="00220D0B">
        <w:t xml:space="preserve"> харагдана</w:t>
      </w:r>
      <w:r>
        <w:t xml:space="preserve">. </w:t>
      </w:r>
      <w:r w:rsidR="00220D0B" w:rsidRPr="00220D0B">
        <w:t xml:space="preserve">Дотоод шокууд тохиолдоход ихэнх хувьсагч эхний улиралд оргилдоо хүрч дараа нь замхардаг бол гадаад шокод </w:t>
      </w:r>
      <w:r w:rsidR="00220D0B" w:rsidRPr="00220D0B">
        <w:lastRenderedPageBreak/>
        <w:t>капитал, спредийн оргил арван гурваас хорь дахь улирлын хооронд</w:t>
      </w:r>
      <w:r w:rsidR="00220D0B">
        <w:t xml:space="preserve"> илэрдэг.</w:t>
      </w:r>
      <w:r w:rsidR="00D050B3">
        <w:t>Энэ</w:t>
      </w:r>
      <w:r>
        <w:t xml:space="preserve"> </w:t>
      </w:r>
      <w:r w:rsidR="00D050B3">
        <w:t>хоцрогдол</w:t>
      </w:r>
      <w:r>
        <w:t xml:space="preserve"> балансын адилтгалаас капиталын хуримтлалын хууль руу дамжих замаас урган гарах бөгөөд эх загварт тийм зам байхгүй</w:t>
      </w:r>
      <w:r w:rsidR="00293252">
        <w:t>г тэмдэглэх нь зүйтэй юм</w:t>
      </w:r>
      <w:r>
        <w:t>.</w:t>
      </w:r>
    </w:p>
    <w:p w14:paraId="22716D33" w14:textId="77777777" w:rsidR="00A626C8" w:rsidRDefault="00000000">
      <w:pPr>
        <w:pStyle w:val="Heading3"/>
      </w:pPr>
      <w:bookmarkStart w:id="3" w:name="ойролцоо-загваруудтай-харьцуулах-нь"/>
      <w:bookmarkEnd w:id="2"/>
      <w:r>
        <w:t>5.5.3 Ойролцоо загваруудтай харьцуулах нь</w:t>
      </w:r>
    </w:p>
    <w:p w14:paraId="7476FE7D" w14:textId="25AE2E14" w:rsidR="00A626C8" w:rsidRDefault="00000000">
      <w:pPr>
        <w:pStyle w:val="FirstParagraph"/>
      </w:pPr>
      <w:r>
        <w:t>Банкны балансад үл тохироо байрлуулсан загварууд цөөнгүй бий боловч тэдгээрийн хооронд тэгшитгэлийн түвшний ялгаа мэдэгдэхүйц бай</w:t>
      </w:r>
      <w:r w:rsidR="00D4090D">
        <w:t>даг</w:t>
      </w:r>
      <w:r>
        <w:t>.</w:t>
      </w:r>
    </w:p>
    <w:p w14:paraId="7566F820" w14:textId="073EEA20" w:rsidR="00A626C8" w:rsidRDefault="00000000">
      <w:pPr>
        <w:pStyle w:val="BodyText"/>
      </w:pPr>
      <w:r>
        <w:t>Vītola, Ajevskis (2011) нарын загвар бүтцийн хувьд</w:t>
      </w:r>
      <w:r w:rsidR="00061180">
        <w:t xml:space="preserve"> энэ бүлгийн өргөтгөлтэй</w:t>
      </w:r>
      <w:r>
        <w:t xml:space="preserve"> хамгийн ойр юм. Тэдгээрийн банкны баланс лат хадгаламж, евро хадгаламж, гадаад зээл, капитал гэсэн дөрвөн бүрэлдэхүүнтэй бөгөөд Gerali нар (2010)-ын бөөний нэгжийн бүтцийг дагасан байна. Ялгаа нь дөрвөн зүйлд оршино. Нэгдүгээрт, тэдгээрийн балансын адилтгалд ханш ороогүй бөгөөд ханш нь зөвхөн ашгийн урсгалд илэрдэг. Хоёрдугаарт, гадаад валютын хадгаламжийн зохицуулалтын зардал нь хүүний өөрчлөлтөд ноогддог бол энэ бүлэгт тоо хэмжээний өөрчлөлтөд ноогдоно. Гуравдугаарт, өрхийн хадгаламжийн валютын бүтэц тэдгээрт зөвхөн харьцангуй өгөөжөөр тодорхойлогддог бол энд зорилтот түвшинтэй портфелийн зардлаар тодорхойлогдоно. Дөрөвдүгээрт, Латви тогтмол ханшийн дэглэмтэй байсан тул Тейлорын дүрмийн ханшийн коэффициент 37.8 байхад энэ бүлэгт ханшийн зангуу хасах 0.10 байна.</w:t>
      </w:r>
      <w:r w:rsidR="00564BA0">
        <w:t xml:space="preserve"> </w:t>
      </w:r>
      <w:r>
        <w:t>Эдгээрээс эхний болон сүүлийн ялгаа шийдвэрлэх ач холбогдолтой. Балансын адилтгалд ханш ороогүй, дээр нь ханш бараг хөдөлдөггүй тул дахин үнэлгээний суваг бүтцээрээ идэвхгүй болно. Тиймээс тэдгээрийн загварт зөвхөн хүүний зууралт үлдэх бөгөөд 5.4 хэсэгт дурдсанчлан тэд банкны сектор гадаад шокыг сааруулдаг гэж дүгнэсэн байдаг.</w:t>
      </w:r>
    </w:p>
    <w:p w14:paraId="0A49DCDD" w14:textId="0A67E616" w:rsidR="00A626C8" w:rsidRDefault="00A9134D">
      <w:pPr>
        <w:pStyle w:val="BodyText"/>
      </w:pPr>
      <w:r>
        <w:t xml:space="preserve">Түүнчлэн, </w:t>
      </w:r>
      <w:r w:rsidR="00B37CFC" w:rsidRPr="00B37CFC">
        <w:t>Хэвлэгдсэн ажлуудаас Brzoza-Brzezina, Makarski (2011) нарынх хамгийн ойр байна.</w:t>
      </w:r>
      <w:r w:rsidR="00000000">
        <w:t xml:space="preserve"> Тэдгээрийн зээлдүүлэгч банк дотоодын болон гадаад банк хоорондын зах зээлээс санхүүждэг бөгөөд гадаад зээл гадаад валютаар илэрхийлэгдэнэ. Эрсдэлийн шагнал Schmitt-Grohé, Uribe (2003) нарын дагуу гадаад өрийн харьцаанаас хамаарах ба энэ нь энэ бүлгийн томъёололтой ижил.</w:t>
      </w:r>
    </w:p>
    <w:p w14:paraId="4EAAB9DD" w14:textId="191DF4D8" w:rsidR="00A626C8" w:rsidRDefault="00000000">
      <w:pPr>
        <w:pStyle w:val="BodyText"/>
      </w:pPr>
      <w:r>
        <w:t>Гэ</w:t>
      </w:r>
      <w:r w:rsidR="00B37CFC">
        <w:t>хдээ</w:t>
      </w:r>
      <w:r>
        <w:t xml:space="preserve"> тэдгээрийн банк</w:t>
      </w:r>
      <w:r w:rsidR="00B37CFC">
        <w:t>а</w:t>
      </w:r>
      <w:r>
        <w:t>нд капитал байхгүй. Зээлдүүлэгч банкны баланс нь банк хоорондын эх үүсвэрээс зээл рүү шилжих энгийн адилтгал бөгөөд капиталын хуримтлал, хөшүүрэгийн зардал байхгүй болно. Иймд ханш сулрахад гадаад өр төлбөр дахин үнэлэгддэг ч шингээх капитал байхгүй тул зөвхөн зардал нэмэгдэнэ. Тэдгээрийн загварт спред нь экзоген шокоор хөдөлдөг бол энэ бүлэгт капиталын харьцаанаас эндогенээр тодорхойлогдоно. Дээр дурдсан гурав дахь тэгшитгэл буюу хуримтлалын хууль тэдэнд байхгүй нь гол ялгаа юм.</w:t>
      </w:r>
    </w:p>
    <w:p w14:paraId="06A93A3E" w14:textId="1139C53D" w:rsidR="00A626C8" w:rsidRDefault="00996EBE">
      <w:pPr>
        <w:pStyle w:val="BodyText"/>
      </w:pPr>
      <w:r w:rsidRPr="00996EBE">
        <w:t>Choi, Cook (2004) нар банкны капитал болон валютын үл тохироог хоёуланг нь агуулсан бөгөөд капитал нь ашгаас хуримтлагддаг.</w:t>
      </w:r>
      <w:r w:rsidR="00000000">
        <w:t xml:space="preserve"> Ялгаа нь эрсдэлийн шагналын томъёололд оршино. Тэдгээрийн загварт шагнал эндоген бөгөөд банкны балансын байдлаас шууд хамаардаг тул хүчжүүлэлт шагналаар дамжина. Энэ бүлэгт шагнал экзоген процесс бөгөөд гадаад өрийн түвшнээс хамаарах нэмэлт гишүүнтэй байх ба хүчжүүлэлт нь капитал, спредээр дамжина.</w:t>
      </w:r>
    </w:p>
    <w:p w14:paraId="252BFFAB" w14:textId="77777777" w:rsidR="00A626C8" w:rsidRDefault="00000000">
      <w:pPr>
        <w:pStyle w:val="BodyText"/>
      </w:pPr>
      <w:r>
        <w:t xml:space="preserve">Céspedes нар (2004), Gertler нар (2007) нарын загварт банк огт байхгүй. Аж ахуй эрхлэгч гадаад зах зээлээс шууд зээлдэг бөгөөд гадаад санхүүжилтийн шагнал нь түүний цэвэр хөрөнгөөс урвуу хамааралтай байна. Gertler нар (2007)-ын суурь загварт өр төлбөр </w:t>
      </w:r>
      <w:r>
        <w:lastRenderedPageBreak/>
        <w:t>дотоодын валютаар илэрхийлэгддэг бөгөөд гадаад валютын хувилбарыг зөвхөн сунгалт болгон авч үзсэн болно.</w:t>
      </w:r>
    </w:p>
    <w:p w14:paraId="23FBFDDE" w14:textId="77777777" w:rsidR="00A626C8" w:rsidRDefault="00000000">
      <w:pPr>
        <w:pStyle w:val="Heading3"/>
      </w:pPr>
      <w:bookmarkStart w:id="4" w:name="загваруудын-ангилал"/>
      <w:bookmarkEnd w:id="3"/>
      <w:r>
        <w:t>5.5.4 Загваруудын ангилал</w:t>
      </w:r>
    </w:p>
    <w:p w14:paraId="1546F0B6" w14:textId="77777777" w:rsidR="00A626C8" w:rsidRDefault="00000000">
      <w:pPr>
        <w:pStyle w:val="FirstParagraph"/>
      </w:pPr>
      <w:r>
        <w:t>Дээрх ялгаануудыг гурван шинжээр нэгтгэн ангилж болно. Эхнийх нь ханшийн дэглэм, хоёр дахь нь валютын үл тохироо хаана байрлаж байгаа, гурав дахь нь банкны капитал хуримтлагддаг эсэх юм. Үр дүнг Хүснэгт 11-т үзүүлэв.</w:t>
      </w:r>
    </w:p>
    <w:p w14:paraId="5D8D3F65" w14:textId="77777777" w:rsidR="00A626C8" w:rsidRDefault="00000000">
      <w:pPr>
        <w:pStyle w:val="BodyText"/>
      </w:pPr>
      <w:r>
        <w:rPr>
          <w:b/>
          <w:bCs/>
        </w:rPr>
        <w:t>Хүснэгт 11.</w:t>
      </w:r>
      <w:r>
        <w:t xml:space="preserve"> Валютын үл тохирооны загваруудын ангилал</w:t>
      </w:r>
    </w:p>
    <w:tbl>
      <w:tblPr>
        <w:tblStyle w:val="Table"/>
        <w:tblW w:w="5000" w:type="pct"/>
        <w:tblLook w:val="0020" w:firstRow="1" w:lastRow="0" w:firstColumn="0" w:lastColumn="0" w:noHBand="0" w:noVBand="0"/>
      </w:tblPr>
      <w:tblGrid>
        <w:gridCol w:w="2910"/>
        <w:gridCol w:w="2048"/>
        <w:gridCol w:w="2311"/>
        <w:gridCol w:w="2307"/>
      </w:tblGrid>
      <w:tr w:rsidR="00A626C8" w14:paraId="4D25247F" w14:textId="77777777" w:rsidTr="00A626C8">
        <w:trPr>
          <w:cnfStyle w:val="100000000000" w:firstRow="1" w:lastRow="0" w:firstColumn="0" w:lastColumn="0" w:oddVBand="0" w:evenVBand="0" w:oddHBand="0" w:evenHBand="0" w:firstRowFirstColumn="0" w:firstRowLastColumn="0" w:lastRowFirstColumn="0" w:lastRowLastColumn="0"/>
          <w:tblHeader/>
        </w:trPr>
        <w:tc>
          <w:tcPr>
            <w:tcW w:w="0" w:type="auto"/>
          </w:tcPr>
          <w:p w14:paraId="0EC5F843" w14:textId="77777777" w:rsidR="00A626C8" w:rsidRDefault="00000000">
            <w:pPr>
              <w:pStyle w:val="Compact"/>
            </w:pPr>
            <w:r>
              <w:t>Загвар</w:t>
            </w:r>
          </w:p>
        </w:tc>
        <w:tc>
          <w:tcPr>
            <w:tcW w:w="0" w:type="auto"/>
          </w:tcPr>
          <w:p w14:paraId="5BD1CB66" w14:textId="77777777" w:rsidR="00A626C8" w:rsidRDefault="00000000">
            <w:pPr>
              <w:pStyle w:val="Compact"/>
            </w:pPr>
            <w:r>
              <w:t>Ханшийн дэглэм</w:t>
            </w:r>
          </w:p>
        </w:tc>
        <w:tc>
          <w:tcPr>
            <w:tcW w:w="0" w:type="auto"/>
          </w:tcPr>
          <w:p w14:paraId="1A74F694" w14:textId="77777777" w:rsidR="00A626C8" w:rsidRDefault="00000000">
            <w:pPr>
              <w:pStyle w:val="Compact"/>
            </w:pPr>
            <w:r>
              <w:t>Үл тохирооны байршил</w:t>
            </w:r>
          </w:p>
        </w:tc>
        <w:tc>
          <w:tcPr>
            <w:tcW w:w="0" w:type="auto"/>
          </w:tcPr>
          <w:p w14:paraId="14243C2C" w14:textId="77777777" w:rsidR="00A626C8" w:rsidRDefault="00000000">
            <w:pPr>
              <w:pStyle w:val="Compact"/>
            </w:pPr>
            <w:r>
              <w:t>Капитал хуримтлагдах</w:t>
            </w:r>
          </w:p>
        </w:tc>
      </w:tr>
      <w:tr w:rsidR="00A626C8" w14:paraId="23A2CF0B" w14:textId="77777777">
        <w:tc>
          <w:tcPr>
            <w:tcW w:w="0" w:type="auto"/>
          </w:tcPr>
          <w:p w14:paraId="24F6050A" w14:textId="77777777" w:rsidR="00A626C8" w:rsidRDefault="00000000">
            <w:pPr>
              <w:pStyle w:val="Compact"/>
            </w:pPr>
            <w:r>
              <w:t>Gerali нар (2010)</w:t>
            </w:r>
          </w:p>
        </w:tc>
        <w:tc>
          <w:tcPr>
            <w:tcW w:w="0" w:type="auto"/>
          </w:tcPr>
          <w:p w14:paraId="0D2C0F80" w14:textId="77777777" w:rsidR="00A626C8" w:rsidRDefault="00000000">
            <w:pPr>
              <w:pStyle w:val="Compact"/>
            </w:pPr>
            <w:r>
              <w:t>хаалттай эдийн засаг</w:t>
            </w:r>
          </w:p>
        </w:tc>
        <w:tc>
          <w:tcPr>
            <w:tcW w:w="0" w:type="auto"/>
          </w:tcPr>
          <w:p w14:paraId="6E5B642F" w14:textId="77777777" w:rsidR="00A626C8" w:rsidRDefault="00000000">
            <w:pPr>
              <w:pStyle w:val="Compact"/>
            </w:pPr>
            <w:r>
              <w:t>байхгүй</w:t>
            </w:r>
          </w:p>
        </w:tc>
        <w:tc>
          <w:tcPr>
            <w:tcW w:w="0" w:type="auto"/>
          </w:tcPr>
          <w:p w14:paraId="431F523D" w14:textId="77777777" w:rsidR="00A626C8" w:rsidRDefault="00000000">
            <w:pPr>
              <w:pStyle w:val="Compact"/>
            </w:pPr>
            <w:r>
              <w:t>тийм</w:t>
            </w:r>
          </w:p>
        </w:tc>
      </w:tr>
      <w:tr w:rsidR="00A626C8" w14:paraId="6B7BAE35" w14:textId="77777777">
        <w:tc>
          <w:tcPr>
            <w:tcW w:w="0" w:type="auto"/>
          </w:tcPr>
          <w:p w14:paraId="37EDAD84" w14:textId="77777777" w:rsidR="00A626C8" w:rsidRDefault="00000000">
            <w:pPr>
              <w:pStyle w:val="Compact"/>
            </w:pPr>
            <w:r>
              <w:t>Céspedes нар (2004)</w:t>
            </w:r>
          </w:p>
        </w:tc>
        <w:tc>
          <w:tcPr>
            <w:tcW w:w="0" w:type="auto"/>
          </w:tcPr>
          <w:p w14:paraId="34267699" w14:textId="77777777" w:rsidR="00A626C8" w:rsidRDefault="00000000">
            <w:pPr>
              <w:pStyle w:val="Compact"/>
            </w:pPr>
            <w:r>
              <w:t>хөвөгч</w:t>
            </w:r>
          </w:p>
        </w:tc>
        <w:tc>
          <w:tcPr>
            <w:tcW w:w="0" w:type="auto"/>
          </w:tcPr>
          <w:p w14:paraId="42A096A9" w14:textId="77777777" w:rsidR="00A626C8" w:rsidRDefault="00000000">
            <w:pPr>
              <w:pStyle w:val="Compact"/>
            </w:pPr>
            <w:r>
              <w:t>зээлдэгч</w:t>
            </w:r>
          </w:p>
        </w:tc>
        <w:tc>
          <w:tcPr>
            <w:tcW w:w="0" w:type="auto"/>
          </w:tcPr>
          <w:p w14:paraId="25C0AB63" w14:textId="77777777" w:rsidR="00A626C8" w:rsidRDefault="00000000">
            <w:pPr>
              <w:pStyle w:val="Compact"/>
            </w:pPr>
            <w:r>
              <w:t>банк байхгүй</w:t>
            </w:r>
          </w:p>
        </w:tc>
      </w:tr>
      <w:tr w:rsidR="00A626C8" w14:paraId="29D8C9EA" w14:textId="77777777">
        <w:tc>
          <w:tcPr>
            <w:tcW w:w="0" w:type="auto"/>
          </w:tcPr>
          <w:p w14:paraId="02D71EC5" w14:textId="77777777" w:rsidR="00A626C8" w:rsidRDefault="00000000">
            <w:pPr>
              <w:pStyle w:val="Compact"/>
            </w:pPr>
            <w:r>
              <w:t>Gertler нар (2007)</w:t>
            </w:r>
          </w:p>
        </w:tc>
        <w:tc>
          <w:tcPr>
            <w:tcW w:w="0" w:type="auto"/>
          </w:tcPr>
          <w:p w14:paraId="11C41441" w14:textId="77777777" w:rsidR="00A626C8" w:rsidRDefault="00000000">
            <w:pPr>
              <w:pStyle w:val="Compact"/>
            </w:pPr>
            <w:r>
              <w:t>хөвөгч</w:t>
            </w:r>
          </w:p>
        </w:tc>
        <w:tc>
          <w:tcPr>
            <w:tcW w:w="0" w:type="auto"/>
          </w:tcPr>
          <w:p w14:paraId="2A49CD4B" w14:textId="77777777" w:rsidR="00A626C8" w:rsidRDefault="00000000">
            <w:pPr>
              <w:pStyle w:val="Compact"/>
            </w:pPr>
            <w:r>
              <w:t>зээлдэгч</w:t>
            </w:r>
          </w:p>
        </w:tc>
        <w:tc>
          <w:tcPr>
            <w:tcW w:w="0" w:type="auto"/>
          </w:tcPr>
          <w:p w14:paraId="6C559241" w14:textId="77777777" w:rsidR="00A626C8" w:rsidRDefault="00000000">
            <w:pPr>
              <w:pStyle w:val="Compact"/>
            </w:pPr>
            <w:r>
              <w:t>банк байхгүй</w:t>
            </w:r>
          </w:p>
        </w:tc>
      </w:tr>
      <w:tr w:rsidR="00A626C8" w14:paraId="7D3849E4" w14:textId="77777777">
        <w:tc>
          <w:tcPr>
            <w:tcW w:w="0" w:type="auto"/>
          </w:tcPr>
          <w:p w14:paraId="7CC6EB0C" w14:textId="77777777" w:rsidR="00A626C8" w:rsidRDefault="00000000">
            <w:pPr>
              <w:pStyle w:val="Compact"/>
            </w:pPr>
            <w:r>
              <w:t>Choi, Cook (2004)</w:t>
            </w:r>
          </w:p>
        </w:tc>
        <w:tc>
          <w:tcPr>
            <w:tcW w:w="0" w:type="auto"/>
          </w:tcPr>
          <w:p w14:paraId="763431C7" w14:textId="77777777" w:rsidR="00A626C8" w:rsidRDefault="00000000">
            <w:pPr>
              <w:pStyle w:val="Compact"/>
            </w:pPr>
            <w:r>
              <w:t>тогтмол</w:t>
            </w:r>
          </w:p>
        </w:tc>
        <w:tc>
          <w:tcPr>
            <w:tcW w:w="0" w:type="auto"/>
          </w:tcPr>
          <w:p w14:paraId="4B669A66" w14:textId="77777777" w:rsidR="00A626C8" w:rsidRDefault="00000000">
            <w:pPr>
              <w:pStyle w:val="Compact"/>
            </w:pPr>
            <w:r>
              <w:t>банк</w:t>
            </w:r>
          </w:p>
        </w:tc>
        <w:tc>
          <w:tcPr>
            <w:tcW w:w="0" w:type="auto"/>
          </w:tcPr>
          <w:p w14:paraId="3A3E25AE" w14:textId="77777777" w:rsidR="00A626C8" w:rsidRDefault="00000000">
            <w:pPr>
              <w:pStyle w:val="Compact"/>
            </w:pPr>
            <w:r>
              <w:t>тийм</w:t>
            </w:r>
          </w:p>
        </w:tc>
      </w:tr>
      <w:tr w:rsidR="00A626C8" w14:paraId="4790FF4D" w14:textId="77777777">
        <w:tc>
          <w:tcPr>
            <w:tcW w:w="0" w:type="auto"/>
          </w:tcPr>
          <w:p w14:paraId="7377AD2E" w14:textId="77777777" w:rsidR="00A626C8" w:rsidRDefault="00000000">
            <w:pPr>
              <w:pStyle w:val="Compact"/>
            </w:pPr>
            <w:r>
              <w:t>Vītola, Ajevskis (2011)</w:t>
            </w:r>
          </w:p>
        </w:tc>
        <w:tc>
          <w:tcPr>
            <w:tcW w:w="0" w:type="auto"/>
          </w:tcPr>
          <w:p w14:paraId="513BB991" w14:textId="77777777" w:rsidR="00A626C8" w:rsidRDefault="00000000">
            <w:pPr>
              <w:pStyle w:val="Compact"/>
            </w:pPr>
            <w:r>
              <w:t>тогтмол</w:t>
            </w:r>
          </w:p>
        </w:tc>
        <w:tc>
          <w:tcPr>
            <w:tcW w:w="0" w:type="auto"/>
          </w:tcPr>
          <w:p w14:paraId="7B4AD341" w14:textId="77777777" w:rsidR="00A626C8" w:rsidRDefault="00000000">
            <w:pPr>
              <w:pStyle w:val="Compact"/>
            </w:pPr>
            <w:r>
              <w:t>банк</w:t>
            </w:r>
          </w:p>
        </w:tc>
        <w:tc>
          <w:tcPr>
            <w:tcW w:w="0" w:type="auto"/>
          </w:tcPr>
          <w:p w14:paraId="00974DD1" w14:textId="77777777" w:rsidR="00A626C8" w:rsidRDefault="00000000">
            <w:pPr>
              <w:pStyle w:val="Compact"/>
            </w:pPr>
            <w:r>
              <w:t>тийм</w:t>
            </w:r>
          </w:p>
        </w:tc>
      </w:tr>
      <w:tr w:rsidR="00A626C8" w14:paraId="07D43044" w14:textId="77777777">
        <w:tc>
          <w:tcPr>
            <w:tcW w:w="0" w:type="auto"/>
          </w:tcPr>
          <w:p w14:paraId="209F058B" w14:textId="77777777" w:rsidR="00A626C8" w:rsidRDefault="00000000">
            <w:pPr>
              <w:pStyle w:val="Compact"/>
            </w:pPr>
            <w:r>
              <w:t>Brzoza-Brzezina, Makarski (2011)</w:t>
            </w:r>
          </w:p>
        </w:tc>
        <w:tc>
          <w:tcPr>
            <w:tcW w:w="0" w:type="auto"/>
          </w:tcPr>
          <w:p w14:paraId="0FA458E6" w14:textId="77777777" w:rsidR="00A626C8" w:rsidRDefault="00000000">
            <w:pPr>
              <w:pStyle w:val="Compact"/>
            </w:pPr>
            <w:r>
              <w:t>хөвөгч</w:t>
            </w:r>
          </w:p>
        </w:tc>
        <w:tc>
          <w:tcPr>
            <w:tcW w:w="0" w:type="auto"/>
          </w:tcPr>
          <w:p w14:paraId="2EF33A42" w14:textId="77777777" w:rsidR="00A626C8" w:rsidRDefault="00000000">
            <w:pPr>
              <w:pStyle w:val="Compact"/>
            </w:pPr>
            <w:r>
              <w:t>банк</w:t>
            </w:r>
          </w:p>
        </w:tc>
        <w:tc>
          <w:tcPr>
            <w:tcW w:w="0" w:type="auto"/>
          </w:tcPr>
          <w:p w14:paraId="440ED37D" w14:textId="77777777" w:rsidR="00A626C8" w:rsidRDefault="00000000">
            <w:pPr>
              <w:pStyle w:val="Compact"/>
            </w:pPr>
            <w:r>
              <w:t>үгүй</w:t>
            </w:r>
          </w:p>
        </w:tc>
      </w:tr>
      <w:tr w:rsidR="00A626C8" w14:paraId="5AF634FC" w14:textId="77777777">
        <w:tc>
          <w:tcPr>
            <w:tcW w:w="0" w:type="auto"/>
          </w:tcPr>
          <w:p w14:paraId="724C499C" w14:textId="77777777" w:rsidR="00A626C8" w:rsidRDefault="00000000">
            <w:pPr>
              <w:pStyle w:val="Compact"/>
            </w:pPr>
            <w:r>
              <w:t>Энэ бүлэг</w:t>
            </w:r>
          </w:p>
        </w:tc>
        <w:tc>
          <w:tcPr>
            <w:tcW w:w="0" w:type="auto"/>
          </w:tcPr>
          <w:p w14:paraId="73B0EC9D" w14:textId="77777777" w:rsidR="00A626C8" w:rsidRDefault="00000000">
            <w:pPr>
              <w:pStyle w:val="Compact"/>
            </w:pPr>
            <w:r>
              <w:t>хөвөгч</w:t>
            </w:r>
          </w:p>
        </w:tc>
        <w:tc>
          <w:tcPr>
            <w:tcW w:w="0" w:type="auto"/>
          </w:tcPr>
          <w:p w14:paraId="6572487B" w14:textId="77777777" w:rsidR="00A626C8" w:rsidRDefault="00000000">
            <w:pPr>
              <w:pStyle w:val="Compact"/>
            </w:pPr>
            <w:r>
              <w:t>банк</w:t>
            </w:r>
          </w:p>
        </w:tc>
        <w:tc>
          <w:tcPr>
            <w:tcW w:w="0" w:type="auto"/>
          </w:tcPr>
          <w:p w14:paraId="6C5383DA" w14:textId="77777777" w:rsidR="00A626C8" w:rsidRDefault="00000000">
            <w:pPr>
              <w:pStyle w:val="Compact"/>
            </w:pPr>
            <w:r>
              <w:t>тийм</w:t>
            </w:r>
          </w:p>
        </w:tc>
      </w:tr>
    </w:tbl>
    <w:p w14:paraId="325B8BE1" w14:textId="77777777" w:rsidR="00A626C8" w:rsidRDefault="00000000">
      <w:pPr>
        <w:pStyle w:val="BodyText"/>
      </w:pPr>
      <w:r>
        <w:t>Тэмдэглэл: Ханшийн дэглэмийг загвар үнэлэгдсэн орны дэглэмээр тодорхойлов. Gertler нар (2007)-ын суурь загварт өр төлбөр дотоодын валютаар илэрхийлэгддэг бөгөөд гадаад валютын хувилбарыг сунгалт болгон авч үзсэн болно.</w:t>
      </w:r>
    </w:p>
    <w:p w14:paraId="7D11F287" w14:textId="77777777" w:rsidR="00A626C8" w:rsidRDefault="00000000">
      <w:pPr>
        <w:pStyle w:val="BodyText"/>
      </w:pPr>
      <w:r>
        <w:t>Хүснэгтээс хоёр зүйл харагдана. Нэгдүгээрт, хөвөгч ханш, банкны балансын үл тохироо, капиталын хуримтлал гурвыг зэрэг агуулсан мөр зөвхөн нэг байна. Хөвөгч ханштай хоёр загварт үл тохироо зээлдэгчид байрладаг бол банкинд байрлуулсан хоёр загвар тогтмол дэглэмтэй орны хувьд үнэлэгдсэн байна. Brzoza-Brzezina, Makarski (2011) нар хөвөгч дэглэм, банкны үл тохироог хоёуланг нь агуулдаг боловч капиталын хуримтлал байхгүй тул дамжуулалт хуримтлалаар бус, зөвхөн зардлаар явагдана.</w:t>
      </w:r>
    </w:p>
    <w:p w14:paraId="3492234C" w14:textId="77777777" w:rsidR="00A626C8" w:rsidRDefault="00000000">
      <w:pPr>
        <w:pStyle w:val="BodyText"/>
      </w:pPr>
      <w:r>
        <w:t>Хоёрдугаарт, дамжуулалтын чиглэлийн талаарх дүгнэлт эдгээр шинжээс шууд урган гарна. Үл тохироо зээлдэгчид байрлах үед ханш сулрахад экспортын тэлэлт цэвэр хөрөнгийн алдагдлыг нөхдөг тул хөвөгч дэглэм давуутай гэсэн дүгнэлт гарна. Үл тохироо банкинд байрлах үед тийм нөхөн олговор байхгүй бөгөөд тогтмол дэглэм давуутай гэсэн дүгнэлт гарна. Энэ бүлгийн загвар нь банкны үл тохироог хөвөгч дэглэмтэй хослуулж байгаа бөгөөд тэрхүү хослолд банкны сектор гадаад шокыг хүчжүүлдэг болохыг 5.1 болон 5.4 хэсэгт тоогоор харуулав.</w:t>
      </w:r>
    </w:p>
    <w:p w14:paraId="6560F6FE" w14:textId="048FC116" w:rsidR="00A626C8" w:rsidRDefault="00000000">
      <w:pPr>
        <w:pStyle w:val="BodyText"/>
      </w:pPr>
      <w:r>
        <w:t xml:space="preserve">Ийнхүү бүлгийн хувь нэмрийг гурван түвшинд нэгтгэж болно. Тэгшитгэлийн түвшинд өргөтгөл эх загварын балансын адилтгалд гадаад валютын хадгаламж, гадаад зээл хоёрыг ханшаар үржүүлэн нэмж, спредийн нөхцөлд гадаад зээллэгийн харьцааны гишүүнийг оруулсан бол капиталын хуримтлалын хуулийг хөндөөгүй. Ийм хэмжээний өөрчлөлт </w:t>
      </w:r>
      <w:r>
        <w:lastRenderedPageBreak/>
        <w:t>ханшнаас зээл рүү чиглэсэн бүтэн гинжийг үүсгэж байгаа нь эх загварын банкны блок аль хэдийн шаардлагатай бүх бүрэлдэхүүнийг агуулж байсныг илэрхийлнэ.</w:t>
      </w:r>
    </w:p>
    <w:p w14:paraId="53F06D0D" w14:textId="3575886E" w:rsidR="00A626C8" w:rsidRDefault="00000000">
      <w:pPr>
        <w:pStyle w:val="BodyText"/>
      </w:pPr>
      <w:r>
        <w:t xml:space="preserve">Байр суурийн түвшинд </w:t>
      </w:r>
      <w:r w:rsidR="00CC0C85">
        <w:t xml:space="preserve">өргөтгөсөн </w:t>
      </w:r>
      <w:r>
        <w:t>загвар нь хөвөгч ханш, банкны балансын үл тохироо, капиталын хуримтлал гурвыг зэрэг агуулсан цорын ганц үнэлэгдсэн загвар болж байна. Ойролцоо ажлууд эдгээрээс аль нэгийг нь орхисон буюу тогтмол дэглэмтэй орны хувьд үнэлэгдсэн байдаг.</w:t>
      </w:r>
    </w:p>
    <w:p w14:paraId="5EF780BD" w14:textId="6B592DA1" w:rsidR="00A626C8" w:rsidRDefault="00000000">
      <w:pPr>
        <w:pStyle w:val="BodyText"/>
      </w:pPr>
      <w:r>
        <w:t xml:space="preserve">Үр дүнгийн түвшинд өргөтгөл гурван олдвор өгсөн. Гадаад шокын нөлөө банкны балансаар дамжин хойшилж илэрдэг, уг дамжуулалт долларжилтын түвшнээс хамаарч 1.4 дахин хүчжинэ, мөн 5.3 хэсэгт үзүүлсэн 2014-2016 оны ханшийн уналтыг </w:t>
      </w:r>
      <w:r w:rsidR="00CC0C85">
        <w:t>эх</w:t>
      </w:r>
      <w:r>
        <w:t xml:space="preserve"> загвар тайлбарлах боломжгүй байв.</w:t>
      </w:r>
      <w:bookmarkEnd w:id="0"/>
      <w:bookmarkEnd w:id="4"/>
    </w:p>
    <w:sectPr w:rsidR="00A626C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D1263" w14:textId="77777777" w:rsidR="00F12AEE" w:rsidRDefault="00F12AEE">
      <w:pPr>
        <w:spacing w:after="0"/>
      </w:pPr>
      <w:r>
        <w:separator/>
      </w:r>
    </w:p>
  </w:endnote>
  <w:endnote w:type="continuationSeparator" w:id="0">
    <w:p w14:paraId="4B1A19ED" w14:textId="77777777" w:rsidR="00F12AEE" w:rsidRDefault="00F12A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26595" w14:textId="77777777" w:rsidR="00F12AEE" w:rsidRDefault="00F12AEE">
      <w:r>
        <w:separator/>
      </w:r>
    </w:p>
  </w:footnote>
  <w:footnote w:type="continuationSeparator" w:id="0">
    <w:p w14:paraId="73D3CD37" w14:textId="77777777" w:rsidR="00F12AEE" w:rsidRDefault="00F12A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AA27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71592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626C8"/>
    <w:rsid w:val="00061180"/>
    <w:rsid w:val="00205780"/>
    <w:rsid w:val="00220D0B"/>
    <w:rsid w:val="00293252"/>
    <w:rsid w:val="0033227B"/>
    <w:rsid w:val="00361CDF"/>
    <w:rsid w:val="00424EE7"/>
    <w:rsid w:val="00534EC6"/>
    <w:rsid w:val="00564BA0"/>
    <w:rsid w:val="00571348"/>
    <w:rsid w:val="005A2E34"/>
    <w:rsid w:val="005D02BB"/>
    <w:rsid w:val="00996EBE"/>
    <w:rsid w:val="00A626C8"/>
    <w:rsid w:val="00A9134D"/>
    <w:rsid w:val="00B33FF6"/>
    <w:rsid w:val="00B37CFC"/>
    <w:rsid w:val="00BA7C41"/>
    <w:rsid w:val="00CC0C85"/>
    <w:rsid w:val="00CE7E6D"/>
    <w:rsid w:val="00D050B3"/>
    <w:rsid w:val="00D4090D"/>
    <w:rsid w:val="00F12AEE"/>
    <w:rsid w:val="00FD128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6A23"/>
  <w15:docId w15:val="{94B804C3-9188-4741-8F6B-829C940F4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1070</TotalTime>
  <Pages>5</Pages>
  <Words>1676</Words>
  <Characters>9555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21</cp:revision>
  <dcterms:created xsi:type="dcterms:W3CDTF">2026-08-28T18:26:00Z</dcterms:created>
  <dcterms:modified xsi:type="dcterms:W3CDTF">2026-08-29T13:25:00Z</dcterms:modified>
</cp:coreProperties>
</file>