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28828" w14:textId="77777777" w:rsidR="000556A1" w:rsidRPr="002509B9" w:rsidRDefault="00000000">
      <w:pPr>
        <w:pStyle w:val="Heading2"/>
        <w:numPr>
          <w:ilvl w:val="0"/>
          <w:numId w:val="0"/>
        </w:numPr>
        <w:rPr>
          <w:rFonts w:cs="Times New Roman"/>
        </w:rPr>
      </w:pPr>
      <w:bookmarkStart w:id="0" w:name="бат-бөх-байдлын-шинжилгээ"/>
      <w:r w:rsidRPr="002509B9">
        <w:rPr>
          <w:rFonts w:cs="Times New Roman"/>
        </w:rPr>
        <w:t>6 Бат бөх байдлын шинжилгээ</w:t>
      </w:r>
    </w:p>
    <w:p w14:paraId="011E4A31" w14:textId="094FC2D2" w:rsidR="000556A1" w:rsidRPr="002509B9" w:rsidRDefault="003519D6">
      <w:pPr>
        <w:pStyle w:val="FirstParagraph"/>
        <w:rPr>
          <w:rFonts w:ascii="Times New Roman" w:hAnsi="Times New Roman" w:cs="Times New Roman"/>
        </w:rPr>
      </w:pPr>
      <w:r w:rsidRPr="002509B9">
        <w:rPr>
          <w:rFonts w:ascii="Times New Roman" w:hAnsi="Times New Roman" w:cs="Times New Roman"/>
          <w:lang w:val="mn-MN"/>
        </w:rPr>
        <w:t xml:space="preserve">5 хэсэгт өргөтгөлийн үр дүнг механизм, хугацаа, долларжилтын түвшин гэсэн гурван талаас нь </w:t>
      </w:r>
      <w:r w:rsidRPr="002509B9">
        <w:rPr>
          <w:rFonts w:ascii="Times New Roman" w:hAnsi="Times New Roman" w:cs="Times New Roman"/>
          <w:lang w:val="mn-MN"/>
        </w:rPr>
        <w:t>авч үзлээ</w:t>
      </w:r>
      <w:r w:rsidR="00000000" w:rsidRPr="002509B9">
        <w:rPr>
          <w:rFonts w:ascii="Times New Roman" w:hAnsi="Times New Roman" w:cs="Times New Roman"/>
        </w:rPr>
        <w:t xml:space="preserve"> Гадаад шок банкны балансаар дамжин зээлийн нөхцөлд шилждэг, уг дамжуулалт хойшилж илэрдэг, долларжилтын түвшин түүний хүчийг тодорхойлдог болохыг харуулав. Эдгээр дүгнэлт үнэлгээний явцад хийсэн сонголтоос хамаарч байгаа эсэхийг энэ хэсэгт шалгана.</w:t>
      </w:r>
    </w:p>
    <w:p w14:paraId="0210DD3F" w14:textId="1356A39C" w:rsidR="000556A1" w:rsidRPr="002509B9" w:rsidRDefault="00E37828">
      <w:pPr>
        <w:pStyle w:val="BodyText"/>
        <w:rPr>
          <w:rFonts w:ascii="Times New Roman" w:hAnsi="Times New Roman" w:cs="Times New Roman"/>
        </w:rPr>
      </w:pPr>
      <w:r w:rsidRPr="002509B9">
        <w:rPr>
          <w:rFonts w:ascii="Times New Roman" w:hAnsi="Times New Roman" w:cs="Times New Roman"/>
        </w:rPr>
        <w:t>Энд г</w:t>
      </w:r>
      <w:r w:rsidR="00000000" w:rsidRPr="002509B9">
        <w:rPr>
          <w:rFonts w:ascii="Times New Roman" w:hAnsi="Times New Roman" w:cs="Times New Roman"/>
        </w:rPr>
        <w:t>урван сонголтыг авч үз</w:t>
      </w:r>
      <w:r w:rsidRPr="002509B9">
        <w:rPr>
          <w:rFonts w:ascii="Times New Roman" w:hAnsi="Times New Roman" w:cs="Times New Roman"/>
        </w:rPr>
        <w:t>нэ</w:t>
      </w:r>
      <w:r w:rsidR="00000000" w:rsidRPr="002509B9">
        <w:rPr>
          <w:rFonts w:ascii="Times New Roman" w:hAnsi="Times New Roman" w:cs="Times New Roman"/>
        </w:rPr>
        <w:t>. Эхнийх нь үнэлэх параметрийн тоо бөгөөд 4.4 хэсэгт зургаан параметрийг эхний шатны хойдчилсон дундаж утгад тогтоосон болно. Хоёр дахь нь банкны балансын шокыг загварын аль тэгшитгэлд байрлуулах явдал юм</w:t>
      </w:r>
      <w:r w:rsidR="00992675" w:rsidRPr="002509B9">
        <w:rPr>
          <w:rFonts w:ascii="Times New Roman" w:hAnsi="Times New Roman" w:cs="Times New Roman"/>
        </w:rPr>
        <w:t xml:space="preserve">. </w:t>
      </w:r>
      <w:r w:rsidR="00992675" w:rsidRPr="002509B9">
        <w:rPr>
          <w:rFonts w:ascii="Times New Roman" w:hAnsi="Times New Roman" w:cs="Times New Roman"/>
        </w:rPr>
        <w:t>Гурав дахь нь өгөгдлийн хувиргалт бөгөөд суурь үнэлгээнд тоо хэмжээг логарифмын эхний ялгавраар авсан бол Ходрик–Прескоттын шүүлтүүрээр гаргасан мөчлөгөөр орлуулах, мөн 3 хэсэгт тэмдэглэсэн улирлын нөлөөг арилгах хоёр хувилбарыг шалгана.</w:t>
      </w:r>
      <w:r w:rsidR="00000000" w:rsidRPr="002509B9">
        <w:rPr>
          <w:rFonts w:ascii="Times New Roman" w:hAnsi="Times New Roman" w:cs="Times New Roman"/>
        </w:rPr>
        <w:t xml:space="preserve"> </w:t>
      </w:r>
      <w:r w:rsidR="00992675" w:rsidRPr="002509B9">
        <w:rPr>
          <w:rFonts w:ascii="Times New Roman" w:hAnsi="Times New Roman" w:cs="Times New Roman"/>
          <w:lang w:val="mn-MN"/>
        </w:rPr>
        <w:t xml:space="preserve">Эдгээр 3 тогтворжилтийн шинжилгээний хувьд тавигдах </w:t>
      </w:r>
      <w:r w:rsidR="00992675" w:rsidRPr="002509B9">
        <w:rPr>
          <w:rFonts w:ascii="Times New Roman" w:hAnsi="Times New Roman" w:cs="Times New Roman"/>
        </w:rPr>
        <w:t>ш</w:t>
      </w:r>
      <w:r w:rsidR="00000000" w:rsidRPr="002509B9">
        <w:rPr>
          <w:rFonts w:ascii="Times New Roman" w:hAnsi="Times New Roman" w:cs="Times New Roman"/>
        </w:rPr>
        <w:t xml:space="preserve">алгуур </w:t>
      </w:r>
      <w:r w:rsidR="00992675" w:rsidRPr="002509B9">
        <w:rPr>
          <w:rFonts w:ascii="Times New Roman" w:hAnsi="Times New Roman" w:cs="Times New Roman"/>
        </w:rPr>
        <w:t xml:space="preserve">ижил </w:t>
      </w:r>
      <w:r w:rsidR="00000000" w:rsidRPr="002509B9">
        <w:rPr>
          <w:rFonts w:ascii="Times New Roman" w:hAnsi="Times New Roman" w:cs="Times New Roman"/>
        </w:rPr>
        <w:t>байна. Улсын эрсдэлийн шагналын тогтвортой байдал өндөр хэвээр үлдэж, банкны капиталын уналт хойшилж илэрч, спред өргөсөж байвал үндсэн дүгнэлт бат бөх гэж үзнэ.</w:t>
      </w:r>
    </w:p>
    <w:p w14:paraId="5C046A24" w14:textId="77777777" w:rsidR="000556A1" w:rsidRPr="002509B9" w:rsidRDefault="00000000">
      <w:pPr>
        <w:pStyle w:val="Heading3"/>
        <w:numPr>
          <w:ilvl w:val="0"/>
          <w:numId w:val="0"/>
        </w:numPr>
        <w:rPr>
          <w:rFonts w:cs="Times New Roman"/>
        </w:rPr>
      </w:pPr>
      <w:bookmarkStart w:id="1" w:name="X726245f8c0e8c9dc968f0c82df68959c74dafa7"/>
      <w:r w:rsidRPr="002509B9">
        <w:rPr>
          <w:rFonts w:cs="Times New Roman"/>
        </w:rPr>
        <w:t>6.1 Бүрэн тодорхойлолт: бүх шокын процессыг үнэлэх нь</w:t>
      </w:r>
    </w:p>
    <w:p w14:paraId="3068CB85" w14:textId="52E78655" w:rsidR="000556A1" w:rsidRPr="002509B9" w:rsidRDefault="00000000">
      <w:pPr>
        <w:pStyle w:val="FirstParagraph"/>
        <w:rPr>
          <w:rFonts w:ascii="Times New Roman" w:hAnsi="Times New Roman" w:cs="Times New Roman"/>
        </w:rPr>
      </w:pPr>
      <w:r w:rsidRPr="002509B9">
        <w:rPr>
          <w:rFonts w:ascii="Times New Roman" w:hAnsi="Times New Roman" w:cs="Times New Roman"/>
        </w:rPr>
        <w:t>Суурь үнэлгээнд 36 параметрийг үнэлж, зургааг эхний шатны хойдчилсон дундаж утгад тогтоосон болно. Уг шийдвэрийг 4.4 хэсэгт таних чадварын үндэслэлээр зөвтгөсөн бөгөөд эдгээр параметр өгөгдлөөс мэдээлэл авахгүй байсан юм. Энэ дэд хэсэгт тэдгээрийг чөлөөлж, 42 параметрийг бүгдийг үнэлсэн бүрэн</w:t>
      </w:r>
      <w:r w:rsidR="00992675" w:rsidRPr="002509B9">
        <w:rPr>
          <w:rFonts w:ascii="Times New Roman" w:hAnsi="Times New Roman" w:cs="Times New Roman"/>
        </w:rPr>
        <w:t xml:space="preserve"> загварын</w:t>
      </w:r>
      <w:r w:rsidRPr="002509B9">
        <w:rPr>
          <w:rFonts w:ascii="Times New Roman" w:hAnsi="Times New Roman" w:cs="Times New Roman"/>
        </w:rPr>
        <w:t xml:space="preserve"> тодорхойлолтыг авч үзнэ. Хоёр ажиллуулалт калибрац, прайор, өгөгдөл, гинжний тохиргоо зэрэг бусад бүх талаараа ижил тул ялгааг бүхэлд нь параметрийн тоонд хамааруулж болно.</w:t>
      </w:r>
    </w:p>
    <w:p w14:paraId="3F546FC7" w14:textId="5EAB5924" w:rsidR="000556A1" w:rsidRPr="002509B9" w:rsidRDefault="00000000">
      <w:pPr>
        <w:pStyle w:val="BodyText"/>
        <w:rPr>
          <w:rFonts w:ascii="Times New Roman" w:hAnsi="Times New Roman" w:cs="Times New Roman"/>
        </w:rPr>
      </w:pPr>
      <w:r w:rsidRPr="002509B9">
        <w:rPr>
          <w:rFonts w:ascii="Times New Roman" w:hAnsi="Times New Roman" w:cs="Times New Roman"/>
        </w:rPr>
        <w:t>Логарифм өгөгдлийн нягтрал суурь хувилбарт 1801.3, бүрэн хувилбарт 1774.1 байна. Эхнийх нь 27.2 нэгжээр дээгүүр гарч байгаа нь өгөгдөл нэмэлт зургаан параметрийг үнэлэхийг шаардаагүй төдийгүй тэдгээрийг чөлөөлөх нь загварын тохирох чанарыг мэдэгдэхүйц муутгаж байгааг харуул</w:t>
      </w:r>
      <w:r w:rsidR="00992675" w:rsidRPr="002509B9">
        <w:rPr>
          <w:rFonts w:ascii="Times New Roman" w:hAnsi="Times New Roman" w:cs="Times New Roman"/>
        </w:rPr>
        <w:t>лаа</w:t>
      </w:r>
      <w:r w:rsidRPr="002509B9">
        <w:rPr>
          <w:rFonts w:ascii="Times New Roman" w:hAnsi="Times New Roman" w:cs="Times New Roman"/>
        </w:rPr>
        <w:t>.</w:t>
      </w:r>
    </w:p>
    <w:p w14:paraId="2551038E" w14:textId="77777777" w:rsidR="000556A1" w:rsidRPr="002509B9" w:rsidRDefault="00000000">
      <w:pPr>
        <w:pStyle w:val="BodyText"/>
        <w:rPr>
          <w:rFonts w:ascii="Times New Roman" w:hAnsi="Times New Roman" w:cs="Times New Roman"/>
        </w:rPr>
      </w:pPr>
      <w:r w:rsidRPr="002509B9">
        <w:rPr>
          <w:rFonts w:ascii="Times New Roman" w:hAnsi="Times New Roman" w:cs="Times New Roman"/>
        </w:rPr>
        <w:t>Гол параметр харин бараг хөдлөөгүй бөгөөд улсын эрсдэлийн шагналын тогтвортой байдал суурь хувилбарт 0.850, бүрэнд нь 0.844 бөгөөд ялгаа нь мянганы зургаа л байна. Итгэлийн 90 хувийн интервал ч бараг ижил өргөнтэй буюу 0.133 ба 0.135 байна.</w:t>
      </w:r>
    </w:p>
    <w:p w14:paraId="30022565" w14:textId="1E60C3AF" w:rsidR="000556A1" w:rsidRPr="002509B9" w:rsidRDefault="00000000">
      <w:pPr>
        <w:pStyle w:val="BodyText"/>
        <w:rPr>
          <w:rFonts w:ascii="Times New Roman" w:hAnsi="Times New Roman" w:cs="Times New Roman"/>
        </w:rPr>
      </w:pPr>
      <w:r w:rsidRPr="002509B9">
        <w:rPr>
          <w:rFonts w:ascii="Times New Roman" w:hAnsi="Times New Roman" w:cs="Times New Roman"/>
        </w:rPr>
        <w:t>Механизм өөрөө ч хөдлөөгүй бөгөөд улсын эрсдэлийн шагналын шокод ханш эхний улиралд суурь хувилбарт 3.06, бүрэнд нь 3.07 хувиар суларна. Банкны капитал хоёуланд нь дөрөв дэх улиралд бага зэрэг өс</w:t>
      </w:r>
      <w:r w:rsidR="00992675" w:rsidRPr="002509B9">
        <w:rPr>
          <w:rFonts w:ascii="Times New Roman" w:hAnsi="Times New Roman" w:cs="Times New Roman"/>
        </w:rPr>
        <w:t>өж</w:t>
      </w:r>
      <w:r w:rsidRPr="002509B9">
        <w:rPr>
          <w:rFonts w:ascii="Times New Roman" w:hAnsi="Times New Roman" w:cs="Times New Roman"/>
        </w:rPr>
        <w:t>, найм дахь улирлаас сөрөг болж, хорь дахь улиралд 1.54 хувиар буурна. Спред найм дахь улирлаас өргөс</w:t>
      </w:r>
      <w:r w:rsidR="00992675" w:rsidRPr="002509B9">
        <w:rPr>
          <w:rFonts w:ascii="Times New Roman" w:hAnsi="Times New Roman" w:cs="Times New Roman"/>
        </w:rPr>
        <w:t>өж</w:t>
      </w:r>
      <w:r w:rsidRPr="002509B9">
        <w:rPr>
          <w:rFonts w:ascii="Times New Roman" w:hAnsi="Times New Roman" w:cs="Times New Roman"/>
        </w:rPr>
        <w:t>, арван хоёр дахь улиралд суурь хувилбарт 1.09, бүрэнд нь 1.01 хувийн оргилдоо хүрнэ. Хариу үйлдлийн</w:t>
      </w:r>
      <w:r w:rsidR="00992675" w:rsidRPr="002509B9">
        <w:rPr>
          <w:rFonts w:ascii="Times New Roman" w:hAnsi="Times New Roman" w:cs="Times New Roman"/>
        </w:rPr>
        <w:t xml:space="preserve"> функцийн</w:t>
      </w:r>
      <w:r w:rsidRPr="002509B9">
        <w:rPr>
          <w:rFonts w:ascii="Times New Roman" w:hAnsi="Times New Roman" w:cs="Times New Roman"/>
        </w:rPr>
        <w:t xml:space="preserve"> ялгаа ямар ч хугацаанд аравны нэг хувиас хэтрэхгүй байгаа нь дамжуулалтын чиглэл, хугацаа хоёулаа параметр тогтоох шийдвэрээс хамаара</w:t>
      </w:r>
      <w:r w:rsidR="00992675" w:rsidRPr="002509B9">
        <w:rPr>
          <w:rFonts w:ascii="Times New Roman" w:hAnsi="Times New Roman" w:cs="Times New Roman"/>
        </w:rPr>
        <w:t>хгүй байгааг нотолж байна.</w:t>
      </w:r>
    </w:p>
    <w:p w14:paraId="5D61601E" w14:textId="77777777" w:rsidR="000556A1" w:rsidRPr="002509B9" w:rsidRDefault="00000000">
      <w:pPr>
        <w:pStyle w:val="BodyText"/>
        <w:rPr>
          <w:rFonts w:ascii="Times New Roman" w:hAnsi="Times New Roman" w:cs="Times New Roman"/>
        </w:rPr>
      </w:pPr>
      <w:r w:rsidRPr="002509B9">
        <w:rPr>
          <w:rFonts w:ascii="Times New Roman" w:hAnsi="Times New Roman" w:cs="Times New Roman"/>
          <w:b/>
          <w:bCs/>
        </w:rPr>
        <w:t>Хүснэгт 12.</w:t>
      </w:r>
      <w:r w:rsidRPr="002509B9">
        <w:rPr>
          <w:rFonts w:ascii="Times New Roman" w:hAnsi="Times New Roman" w:cs="Times New Roman"/>
        </w:rPr>
        <w:t xml:space="preserve"> Тодорхойлолтын сонголтын нөлөө</w:t>
      </w:r>
    </w:p>
    <w:tbl>
      <w:tblPr>
        <w:tblStyle w:val="Table"/>
        <w:tblW w:w="0" w:type="auto"/>
        <w:tblLook w:val="0020" w:firstRow="1" w:lastRow="0" w:firstColumn="0" w:lastColumn="0" w:noHBand="0" w:noVBand="0"/>
      </w:tblPr>
      <w:tblGrid>
        <w:gridCol w:w="3691"/>
        <w:gridCol w:w="2461"/>
        <w:gridCol w:w="2445"/>
      </w:tblGrid>
      <w:tr w:rsidR="000556A1" w:rsidRPr="002509B9" w14:paraId="227F9B6C" w14:textId="77777777" w:rsidTr="000556A1">
        <w:trPr>
          <w:cnfStyle w:val="100000000000" w:firstRow="1" w:lastRow="0" w:firstColumn="0" w:lastColumn="0" w:oddVBand="0" w:evenVBand="0" w:oddHBand="0" w:evenHBand="0" w:firstRowFirstColumn="0" w:firstRowLastColumn="0" w:lastRowFirstColumn="0" w:lastRowLastColumn="0"/>
          <w:tblHeader/>
        </w:trPr>
        <w:tc>
          <w:tcPr>
            <w:tcW w:w="0" w:type="auto"/>
          </w:tcPr>
          <w:p w14:paraId="7BB14339" w14:textId="77777777" w:rsidR="000556A1" w:rsidRPr="002509B9" w:rsidRDefault="000556A1">
            <w:pPr>
              <w:pStyle w:val="Compact"/>
              <w:rPr>
                <w:rFonts w:ascii="Times New Roman" w:hAnsi="Times New Roman" w:cs="Times New Roman"/>
              </w:rPr>
            </w:pPr>
          </w:p>
        </w:tc>
        <w:tc>
          <w:tcPr>
            <w:tcW w:w="0" w:type="auto"/>
          </w:tcPr>
          <w:p w14:paraId="5A6CEA3A" w14:textId="169116C4" w:rsidR="000556A1" w:rsidRPr="002509B9" w:rsidRDefault="00000000">
            <w:pPr>
              <w:pStyle w:val="Compact"/>
              <w:rPr>
                <w:rFonts w:ascii="Times New Roman" w:hAnsi="Times New Roman" w:cs="Times New Roman"/>
              </w:rPr>
            </w:pPr>
            <w:r w:rsidRPr="002509B9">
              <w:rPr>
                <w:rFonts w:ascii="Times New Roman" w:hAnsi="Times New Roman" w:cs="Times New Roman"/>
              </w:rPr>
              <w:t>Суурь</w:t>
            </w:r>
            <w:r w:rsidR="00992675" w:rsidRPr="002509B9">
              <w:rPr>
                <w:rFonts w:ascii="Times New Roman" w:hAnsi="Times New Roman" w:cs="Times New Roman"/>
              </w:rPr>
              <w:t xml:space="preserve"> загвар</w:t>
            </w:r>
            <w:r w:rsidRPr="002509B9">
              <w:rPr>
                <w:rFonts w:ascii="Times New Roman" w:hAnsi="Times New Roman" w:cs="Times New Roman"/>
              </w:rPr>
              <w:t>, 36 параметр</w:t>
            </w:r>
          </w:p>
        </w:tc>
        <w:tc>
          <w:tcPr>
            <w:tcW w:w="0" w:type="auto"/>
          </w:tcPr>
          <w:p w14:paraId="1F628B1D" w14:textId="519ECAFE" w:rsidR="000556A1" w:rsidRPr="002509B9" w:rsidRDefault="00000000">
            <w:pPr>
              <w:pStyle w:val="Compact"/>
              <w:rPr>
                <w:rFonts w:ascii="Times New Roman" w:hAnsi="Times New Roman" w:cs="Times New Roman"/>
              </w:rPr>
            </w:pPr>
            <w:r w:rsidRPr="002509B9">
              <w:rPr>
                <w:rFonts w:ascii="Times New Roman" w:hAnsi="Times New Roman" w:cs="Times New Roman"/>
              </w:rPr>
              <w:t>Бүрэн</w:t>
            </w:r>
            <w:r w:rsidR="00992675" w:rsidRPr="002509B9">
              <w:rPr>
                <w:rFonts w:ascii="Times New Roman" w:hAnsi="Times New Roman" w:cs="Times New Roman"/>
              </w:rPr>
              <w:t xml:space="preserve"> загвар</w:t>
            </w:r>
            <w:r w:rsidRPr="002509B9">
              <w:rPr>
                <w:rFonts w:ascii="Times New Roman" w:hAnsi="Times New Roman" w:cs="Times New Roman"/>
              </w:rPr>
              <w:t>, 42 параметр</w:t>
            </w:r>
          </w:p>
        </w:tc>
      </w:tr>
      <w:tr w:rsidR="000556A1" w:rsidRPr="002509B9" w14:paraId="70DB3EF4" w14:textId="77777777">
        <w:tc>
          <w:tcPr>
            <w:tcW w:w="0" w:type="auto"/>
          </w:tcPr>
          <w:p w14:paraId="147A4771"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Логарифм өгөгдлийн нягтрал</w:t>
            </w:r>
          </w:p>
        </w:tc>
        <w:tc>
          <w:tcPr>
            <w:tcW w:w="0" w:type="auto"/>
          </w:tcPr>
          <w:p w14:paraId="32137F49"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1801.3</w:t>
            </w:r>
          </w:p>
        </w:tc>
        <w:tc>
          <w:tcPr>
            <w:tcW w:w="0" w:type="auto"/>
          </w:tcPr>
          <w:p w14:paraId="3106E711"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1774.1</w:t>
            </w:r>
          </w:p>
        </w:tc>
      </w:tr>
      <w:tr w:rsidR="000556A1" w:rsidRPr="002509B9" w14:paraId="3455B8ED" w14:textId="77777777">
        <w:tc>
          <w:tcPr>
            <w:tcW w:w="0" w:type="auto"/>
          </w:tcPr>
          <w:p w14:paraId="260B174B"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Эрсдэлийн шагналын тогтвортой байдал</w:t>
            </w:r>
          </w:p>
        </w:tc>
        <w:tc>
          <w:tcPr>
            <w:tcW w:w="0" w:type="auto"/>
          </w:tcPr>
          <w:p w14:paraId="12896D71"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0.850</w:t>
            </w:r>
          </w:p>
        </w:tc>
        <w:tc>
          <w:tcPr>
            <w:tcW w:w="0" w:type="auto"/>
          </w:tcPr>
          <w:p w14:paraId="3D384FAF"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0.844</w:t>
            </w:r>
          </w:p>
        </w:tc>
      </w:tr>
      <w:tr w:rsidR="000556A1" w:rsidRPr="002509B9" w14:paraId="265882D2" w14:textId="77777777">
        <w:tc>
          <w:tcPr>
            <w:tcW w:w="0" w:type="auto"/>
          </w:tcPr>
          <w:p w14:paraId="57A43975"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90 хувийн интервалын өргөн</w:t>
            </w:r>
          </w:p>
        </w:tc>
        <w:tc>
          <w:tcPr>
            <w:tcW w:w="0" w:type="auto"/>
          </w:tcPr>
          <w:p w14:paraId="523D23C8"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0.133</w:t>
            </w:r>
          </w:p>
        </w:tc>
        <w:tc>
          <w:tcPr>
            <w:tcW w:w="0" w:type="auto"/>
          </w:tcPr>
          <w:p w14:paraId="0E92872D"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0.135</w:t>
            </w:r>
          </w:p>
        </w:tc>
      </w:tr>
      <w:tr w:rsidR="000556A1" w:rsidRPr="002509B9" w14:paraId="66EE697A" w14:textId="77777777">
        <w:tc>
          <w:tcPr>
            <w:tcW w:w="0" w:type="auto"/>
          </w:tcPr>
          <w:p w14:paraId="2C9F71FB"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Ханшийн хариу үйлдэл, 1 дэх улирал</w:t>
            </w:r>
          </w:p>
        </w:tc>
        <w:tc>
          <w:tcPr>
            <w:tcW w:w="0" w:type="auto"/>
          </w:tcPr>
          <w:p w14:paraId="7BE46CCB"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3.06</w:t>
            </w:r>
          </w:p>
        </w:tc>
        <w:tc>
          <w:tcPr>
            <w:tcW w:w="0" w:type="auto"/>
          </w:tcPr>
          <w:p w14:paraId="052E93F2"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3.07</w:t>
            </w:r>
          </w:p>
        </w:tc>
      </w:tr>
      <w:tr w:rsidR="000556A1" w:rsidRPr="002509B9" w14:paraId="44661CF3" w14:textId="77777777">
        <w:tc>
          <w:tcPr>
            <w:tcW w:w="0" w:type="auto"/>
          </w:tcPr>
          <w:p w14:paraId="635160DC"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Банкны капитал, 20 дахь улирал</w:t>
            </w:r>
          </w:p>
        </w:tc>
        <w:tc>
          <w:tcPr>
            <w:tcW w:w="0" w:type="auto"/>
          </w:tcPr>
          <w:p w14:paraId="43FDB535"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−1.54</w:t>
            </w:r>
          </w:p>
        </w:tc>
        <w:tc>
          <w:tcPr>
            <w:tcW w:w="0" w:type="auto"/>
          </w:tcPr>
          <w:p w14:paraId="771D918F"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−1.54</w:t>
            </w:r>
          </w:p>
        </w:tc>
      </w:tr>
      <w:tr w:rsidR="000556A1" w:rsidRPr="002509B9" w14:paraId="4F5DAB99" w14:textId="77777777">
        <w:tc>
          <w:tcPr>
            <w:tcW w:w="0" w:type="auto"/>
          </w:tcPr>
          <w:p w14:paraId="1C7175D0"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lastRenderedPageBreak/>
              <w:t>Спред, 12 дахь улирал</w:t>
            </w:r>
          </w:p>
        </w:tc>
        <w:tc>
          <w:tcPr>
            <w:tcW w:w="0" w:type="auto"/>
          </w:tcPr>
          <w:p w14:paraId="47C176BE"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1.09</w:t>
            </w:r>
          </w:p>
        </w:tc>
        <w:tc>
          <w:tcPr>
            <w:tcW w:w="0" w:type="auto"/>
          </w:tcPr>
          <w:p w14:paraId="63F52A1E" w14:textId="77777777" w:rsidR="000556A1" w:rsidRPr="002509B9" w:rsidRDefault="00000000">
            <w:pPr>
              <w:pStyle w:val="Compact"/>
              <w:rPr>
                <w:rFonts w:ascii="Times New Roman" w:hAnsi="Times New Roman" w:cs="Times New Roman"/>
              </w:rPr>
            </w:pPr>
            <w:r w:rsidRPr="002509B9">
              <w:rPr>
                <w:rFonts w:ascii="Times New Roman" w:hAnsi="Times New Roman" w:cs="Times New Roman"/>
              </w:rPr>
              <w:t>1.01</w:t>
            </w:r>
          </w:p>
        </w:tc>
      </w:tr>
    </w:tbl>
    <w:p w14:paraId="578CD93C" w14:textId="77777777" w:rsidR="000556A1" w:rsidRPr="002509B9" w:rsidRDefault="00000000">
      <w:pPr>
        <w:pStyle w:val="BodyText"/>
        <w:rPr>
          <w:rFonts w:ascii="Times New Roman" w:hAnsi="Times New Roman" w:cs="Times New Roman"/>
        </w:rPr>
      </w:pPr>
      <w:r w:rsidRPr="002509B9">
        <w:rPr>
          <w:rFonts w:ascii="Times New Roman" w:hAnsi="Times New Roman" w:cs="Times New Roman"/>
        </w:rPr>
        <w:t>Тэмдэглэл: Хариу үйлдлийг нэг стандарт хазайлтын улсын эрсдэлийн шагналын шокод хувиар илэрхийлэв. Хоёр ажиллуулалт калибрац, прайор, өгөгдөл, гинжний тохиргоогоор ижил бөгөөд зөвхөн үнэлэх параметрийн тоогоор ялгаатай.</w:t>
      </w:r>
    </w:p>
    <w:p w14:paraId="5176A5AB" w14:textId="61E7EE8E" w:rsidR="000556A1" w:rsidRPr="002509B9" w:rsidRDefault="002509B9">
      <w:pPr>
        <w:pStyle w:val="BodyText"/>
        <w:rPr>
          <w:rFonts w:ascii="Times New Roman" w:hAnsi="Times New Roman" w:cs="Times New Roman"/>
        </w:rPr>
      </w:pPr>
      <w:r w:rsidRPr="002509B9">
        <w:rPr>
          <w:rFonts w:ascii="Times New Roman" w:hAnsi="Times New Roman" w:cs="Times New Roman"/>
        </w:rPr>
        <w:t>Иймд гол үр дүн нь зургаан параметрт калибрац хийсэн шийдвэрээс хамаараагүй болно. Уг шийдвэр загварыг цомхон болгож, өгөгдлийн нягтралыг сайжруулсан бөгөөд улсын эрсдэлийн шагналын тогтвортой байдлыг хөдөлгөөгүй юм.</w:t>
      </w:r>
    </w:p>
    <w:p w14:paraId="567EF806" w14:textId="22CC1460" w:rsidR="000556A1" w:rsidRPr="002509B9" w:rsidRDefault="00000000">
      <w:pPr>
        <w:pStyle w:val="BodyText"/>
        <w:rPr>
          <w:rFonts w:ascii="Times New Roman" w:hAnsi="Times New Roman" w:cs="Times New Roman"/>
        </w:rPr>
      </w:pPr>
      <w:r w:rsidRPr="002509B9">
        <w:rPr>
          <w:rFonts w:ascii="Times New Roman" w:hAnsi="Times New Roman" w:cs="Times New Roman"/>
        </w:rPr>
        <w:t>Нэмэлт нэг ажиглалт таних чадварын үндэслэлийг дэмжинэ. Хойдчилсон нягтралын хоёр оценкын зөрүү буюу модификацлагдсан гармоник дундаж ба Лапласын ойролцооллын хоорондох зай суурь хувилбарт 27 нэгж байсан бол бүрэнд нь 59 нэгж болж өргөсөв. Тэр нь чөлөөлсөн зургаан параметрийн улмаас хойдчилсон тархалт Гауссын хэлбэрээс улам хол болсныг илэрхийлэх бөгөөд 4.4 хэсэгт тэмдэглэсэн таних чадварын сулралтай нийцэж байна.</w:t>
      </w:r>
      <w:bookmarkEnd w:id="0"/>
      <w:bookmarkEnd w:id="1"/>
    </w:p>
    <w:sectPr w:rsidR="000556A1" w:rsidRPr="002509B9"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5263B" w14:textId="77777777" w:rsidR="00CE2693" w:rsidRDefault="00CE2693">
      <w:pPr>
        <w:spacing w:line="240" w:lineRule="auto"/>
      </w:pPr>
      <w:r>
        <w:separator/>
      </w:r>
    </w:p>
  </w:endnote>
  <w:endnote w:type="continuationSeparator" w:id="0">
    <w:p w14:paraId="43890C99" w14:textId="77777777" w:rsidR="00CE2693" w:rsidRDefault="00CE26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14315B25"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44825A35"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321B0F75"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532CBA71"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3DCDC" w14:textId="77777777" w:rsidR="00CE2693" w:rsidRDefault="00CE2693">
      <w:r>
        <w:separator/>
      </w:r>
    </w:p>
  </w:footnote>
  <w:footnote w:type="continuationSeparator" w:id="0">
    <w:p w14:paraId="5B93468A" w14:textId="77777777" w:rsidR="00CE2693" w:rsidRDefault="00CE2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2158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6A1"/>
    <w:rsid w:val="000556A1"/>
    <w:rsid w:val="000D6B21"/>
    <w:rsid w:val="002509B9"/>
    <w:rsid w:val="003519D6"/>
    <w:rsid w:val="00803CBF"/>
    <w:rsid w:val="00992675"/>
    <w:rsid w:val="00CE2693"/>
    <w:rsid w:val="00E37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F0B0"/>
  <w15:docId w15:val="{D4CCDD62-73E9-4196-82AA-826C5E855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9194</TotalTime>
  <Pages>2</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5</cp:revision>
  <dcterms:created xsi:type="dcterms:W3CDTF">2026-08-30T20:17:00Z</dcterms:created>
  <dcterms:modified xsi:type="dcterms:W3CDTF">2026-08-30T22:01:00Z</dcterms:modified>
</cp:coreProperties>
</file>