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35"/>
        <w:gridCol w:w="2191"/>
        <w:gridCol w:w="3497"/>
        <w:gridCol w:w="3575"/>
        <w:gridCol w:w="1286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Global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30 825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 presión arterial alta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27 491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 presión arterial alta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3 334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p-valor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Edad (años)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(27 – 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(25 – 51)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(43 – 67)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a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9 453 (30,1 %)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9 182 (33,7 %)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 (8,2 %)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a 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11 261 (29,0 %)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10 423 (30,6 %)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838 (19,4 %)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a 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5 400 (21,9 %)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4 482 (20,2 %)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918 (32,4 %)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a más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4 711 (19,0 %)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3 404 (15,5 %)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1 307 (40,0 %)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13 026 (48,3 %)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11 048 (46,0 %)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1 978 (62,6 %)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17 799 (51,7 %)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16 443 (54,0 %)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1 356 (37,4 %)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Área de residencia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19 511 (82,1 %)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17 339 (81,5 %)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2 172 (85,8 %)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11 314 (17,9 %)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10 152 (18,5 %)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1 162 (14,2 %)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Región natural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Lima Metropolitana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3 371 (37,0 %)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2 882 (35,9 %)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489 (43,1 %)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Resto de la Costa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8 628 (25,9 %)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7 581 (25,7 %)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1 047 (27,2 %)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Sierra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11 175 (24,3 %)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10 017 (24,9 %)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1 158 (20,9 %)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7 651 (12,8 %)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7 011 (13,4 %)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640 (8,9 %)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 educativo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nivel o inicial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1 166 (2,9 %)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900 (2,6 %)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(4,7 %)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6 568 (17,5 %)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5 588 (16,5 %)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980 (23,9 %)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14 037 (45,7 %)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12 850 (46,8 %)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1 187 (38,6 %)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9 054 (33,9 %)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8 153 (34,1 %)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901 (32,7 %)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1 (más pobre)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10 494 (18,4 %)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9 490 (19,1 %)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1 004 (14,1 %)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7 665 (20,5 %)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6 940 (21,0 %)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 (17,1 %)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5 607 (20,7 %)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4 972 (20,7 %)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 (20,4 %)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4 226 (20,6 %)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3 674 (20,0 %)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 (23,7 %)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5 (más rico)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2 833 (19,9 %)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2 415 (19,1 %)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 (24,7 %)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Fuma actualmente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2 858 (8,8 %)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2 424 (8,6 %)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434 (10,3 %)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0,018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Consumió alcohol en los últimos 30 días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10 189 (34,9 %)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8 985 (34,9 %)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1 204 (35,5 %)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 diagnosticada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1 099 (5,2 %)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830 (4,4 %)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269 (10,0 %)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dato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sin ponderar (% ponderado); mediana ponderada (Q1 – Q3)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Prueba de rangos basada en el diseño; chi cuadrado de Pearson con corrección de Rao-Scott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2026-10-15T11:57:48Z</dcterms:modified>
  <cp:category/>
</cp:coreProperties>
</file>