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5"/>
        <w:gridCol w:w="2191"/>
        <w:gridCol w:w="3497"/>
        <w:gridCol w:w="3575"/>
        <w:gridCol w:w="1286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Global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30 825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27 491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3 334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p-valor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Edad (años)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(28 – 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(27 – 47)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(40 – 67)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a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9 453 (30,7 %)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9 182 (33,4 %)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 (8,1 %)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a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11 261 (36,5 %)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10 423 (37,9 %)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838 (25,1 %)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a 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5 400 (17,5 %)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4 482 (16,3 %)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918 (27,5 %)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a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4 711 (15,3 %)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3 404 (12,4 %)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1 307 (39,2 %)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13 026 (42,3 %)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11 048 (40,2 %)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1 978 (59,3 %)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17 799 (57,7 %)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16 443 (59,8 %)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1 356 (40,7 %)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Área de residencia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0,019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19 511 (63,3 %)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17 339 (63,1 %)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2 172 (65,1 %)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11 314 (36,7 %)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10 152 (36,9 %)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1 162 (34,9 %)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Región 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Lima Metropolitana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3 371 (10,9 %)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2 882 (10,5 %)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 (14,7 %)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 de la Costa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8 628 (28,0 %)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7 581 (27,6 %)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1 047 (31,4 %)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Sierra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11 175 (36,3 %)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10 017 (36,4 %)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1 158 (34,7 %)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7 651 (24,8 %)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7 011 (25,5 %)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640 (19,2 %)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 educativo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nivel o inicial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1 166 (3,8 %)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 (3,3 %)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(8,0 %)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6 568 (21,3 %)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5 588 (20,3 %)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980 (29,4 %)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14 037 (45,5 %)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12 850 (46,7 %)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1 187 (35,6 %)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9 054 (29,4 %)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8 153 (29,7 %)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 (27,0 %)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1 (más pobre)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10 494 (34,0 %)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9 490 (34,5 %)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1 004 (30,1 %)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7 665 (24,9 %)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6 940 (25,2 %)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 (21,7 %)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5 607 (18,2 %)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4 972 (18,1 %)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 (19,0 %)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4 226 (13,7 %)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3 674 (13,4 %)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(16,6 %)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5 (más rico)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2 833 (9,2 %)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2 415 (8,8 %)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 (12,5 %)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Fuma actualmente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2 858 (9,3 %)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2 424 (8,8 %)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434 (13,0 %)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Consumió alcohol en los últimos 30 días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10 189 (33,1 %)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8 985 (32,7 %)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1 204 (36,1 %)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 diagnosticada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1 099 (3,6 %)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(3,0 %)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(8,1 %)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 (Q1 – 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 de la suma de rangos de Wilcoxon; prueba chi cuadrado de independencia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2026-10-13T21:48:35Z</dcterms:modified>
  <cp:category/>
</cp:coreProperties>
</file>