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4835"/>
        <w:gridCol w:w="2757"/>
        <w:gridCol w:w="2010"/>
        <w:gridCol w:w="3233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Característica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Categoría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sin ponderar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Prevalencia (IC 95 %)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Total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30 825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14,2 % (13,5 % a 14,9 %)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Grupo de edad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 a 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9 453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3,9 % (3,3 % a 4,6 %)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 a 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11 261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9,5 % (8,6 % a 10,4 %)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45 a 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5 400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20,9 % (19,0 % a 22,9 %)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60 a más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4 711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29,8 % (27,6 % a 32,1 %)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Sexo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Hombre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13 026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18,3 % (17,2 % a 19,5 %)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Mujer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17 799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10,2 % (9,5 % a 11,1 %)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Área de residencia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Urbana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19 511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14,8 % (14,0 % a 15,7 %)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Rural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11 314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11,2 % (10,4 % a 12,0 %)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Región natural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Lima Metropolitana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3 371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16,5 % (14,9 % a 18,2 %)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Resto de la Costa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8 628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14,8 % (13,7 % a 16,0 %)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Sierra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11 175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12,1 % (11,2 % a 13,1 %)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Selva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7 651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9,8 % (9,0 % a 10,7 %)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Nivel educativo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Sin nivel o inicial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1 166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23,4 % (19,8 % a 27,5 %)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Primaria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6 568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19,3 % (17,7 % a 21,0 %)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Secundaria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14 037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12,0 % (11,0 % a 13,0 %)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Superior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9 054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13,7 % (12,4 % a 15,0 %)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Índice de riqueza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Quintil 1 (más pobre)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10 494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10,9 % (10,0 % a 11,8 %)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Quintil 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7 665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11,8 % (10,7 % a 13,1 %)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Quintil 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5 607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14,0 % (12,6 % a 15,5 %)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Quintil 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4 226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16,3 % (14,6 % a 18,1 %)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Quintil 5 (más rico)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2 833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17,6 % (15,5 % a 19,9 %)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Fuma actualmente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27 966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13,9 % (13,2 % a 14,7 %)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2 858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16,5 % (14,5 % a 18,8 %)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Consumió alcohol en los últimos 30 días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20 622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14,0 % (13,2 % a 15,0 %)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10 189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14,4 % (13,2 % a 15,6 %)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Diabetes diagnosticada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29 700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13,4 % (12,8 % a 14,1 %)</w:t>
            </w:r>
          </w:p>
        </w:tc>
      </w:tr>
      <w:tr>
        <w:trPr>
          <w:trHeight w:val="62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Sí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1 099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27,0 % (22,6 % a 31,9 %)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2026-10-13T21:51:57Z</dcterms:modified>
  <cp:category/>
</cp:coreProperties>
</file>