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35"/>
        <w:gridCol w:w="2757"/>
        <w:gridCol w:w="2010"/>
        <w:gridCol w:w="323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Característica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Categoría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sin ponderar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Prevalencia (IC 95 %)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30 825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14,2 % (13,5 % a 14,9 %)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 de edad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a 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9 453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3,9 % (3,3 % a 4,6 %)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a 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11 261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9,5 % (8,6 % a 10,4 %)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a 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5 400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20,9 % (19,0 % a 22,9 %)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a más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4 711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29,8 % (27,6 % a 32,1 %)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Hombre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13 026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18,3 % (17,2 % a 19,5 %)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17 799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10,2 % (9,5 % a 11,1 %)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Área de residencia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19 511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14,8 % (14,0 % a 15,7 %)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11 314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11,2 % (10,4 % a 12,0 %)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Región natural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Lima Metropolitana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3 371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16,5 % (14,9 % a 18,2 %)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Resto de la Costa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8 628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14,8 % (13,7 % a 16,0 %)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Sierra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11 175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12,1 % (11,2 % a 13,1 %)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7 651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9,8 % (9,0 % a 10,7 %)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 educativo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nivel o inicial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23,4 % (19,8 % a 27,5 %)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6 568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19,3 % (17,7 % a 21,0 %)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Secundaria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14 037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12,0 % (11,0 % a 13,0 %)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9 054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13,7 % (12,4 % a 15,0 %)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Índice de riqueza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 1 (más pobre)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10 494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10,9 % (10,0 % a 11,8 %)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7 665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11,8 % (10,7 % a 13,1 %)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5 607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14,0 % (12,6 % a 15,5 %)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4 226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16,3 % (14,6 % a 18,1 %)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 5 (más rico)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2 833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17,6 % (15,5 % a 19,9 %)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Fuma actualmente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27 966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13,9 % (13,2 % a 14,7 %)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2 858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16,5 % (14,5 % a 18,8 %)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Consumió alcohol en los últimos 30 días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20 622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14,0 % (13,2 % a 15,0 %)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10 189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14,4 % (13,2 % a 15,6 %)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 diagnosticada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29 700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13,4 % (12,8 % a 14,1 %)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1 099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27,0 % (22,6 % a 31,9 %)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2026-10-13T21:53:40Z</dcterms:modified>
  <cp:category/>
</cp:coreProperties>
</file>