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35"/>
        <w:gridCol w:w="2191"/>
        <w:gridCol w:w="3497"/>
        <w:gridCol w:w="3575"/>
        <w:gridCol w:w="1286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Global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30 825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 presión arterial alta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27 491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 presión arterial alta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3 334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p-valor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Edad (años)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(28 – 50)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(27 – 47)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(40 – 67)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a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9 453 (30,7 %)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9 182 (33,4 %)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 (8,1 %)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a 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11 261 (36,5 %)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10 423 (37,9 %)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838 (25,1 %)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a 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5 400 (17,5 %)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4 482 (16,3 %)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918 (27,5 %)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a más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4 711 (15,3 %)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3 404 (12,4 %)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1 307 (39,2 %)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13 026 (42,3 %)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11 048 (40,2 %)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1 978 (59,3 %)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17 799 (57,7 %)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16 443 (59,8 %)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1 356 (40,7 %)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Área de residencia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0,019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19 511 (63,3 %)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17 339 (63,1 %)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2 172 (65,1 %)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11 314 (36,7 %)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10 152 (36,9 %)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1 162 (34,9 %)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Región natural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Lima Metropolitana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3 371 (10,9 %)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2 882 (10,5 %)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489 (14,7 %)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Resto de la Costa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8 628 (28,0 %)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7 581 (27,6 %)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1 047 (31,4 %)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Sierra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11 175 (36,3 %)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10 017 (36,4 %)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1 158 (34,7 %)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7 651 (24,8 %)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7 011 (25,5 %)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640 (19,2 %)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 educativo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nivel o inicial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1 166 (3,8 %)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900 (3,3 %)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(8,0 %)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6 568 (21,3 %)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5 588 (20,3 %)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980 (29,4 %)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14 037 (45,5 %)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12 850 (46,7 %)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1 187 (35,6 %)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9 054 (29,4 %)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8 153 (29,7 %)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901 (27,0 %)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de riqueza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1 (más pobre)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10 494 (34,0 %)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9 490 (34,5 %)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1 004 (30,1 %)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7 665 (24,9 %)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6 940 (25,2 %)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 (21,7 %)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5 607 (18,2 %)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4 972 (18,1 %)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 (19,0 %)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4 226 (13,7 %)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3 674 (13,4 %)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 (16,6 %)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5 (más rico)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2 833 (9,2 %)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2 415 (8,8 %)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 (12,5 %)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Fuma actualmente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2 858 (9,3 %)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2 424 (8,8 %)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434 (13,0 %)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Consumió alcohol en los últimos 30 días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10 189 (33,1 %)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8 985 (32,7 %)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1 204 (36,1 %)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Diabetes diagnosticada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1 099 (3,6 %)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830 (3,0 %)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269 (8,1 %)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dato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 (Q1 – Q3);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Prueba de la suma de rangos de Wilcoxon; prueba chi cuadrado de independencia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2026-10-13T21:57:08Z</dcterms:modified>
  <cp:category/>
</cp:coreProperties>
</file>