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5"/>
        <w:gridCol w:w="2191"/>
        <w:gridCol w:w="3497"/>
        <w:gridCol w:w="3575"/>
        <w:gridCol w:w="1286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Característica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Global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30 825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Sin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27 491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 presión arterial alta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3 334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p-valor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Edad (años)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(27 – 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(25 – 51)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(43 – 67)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a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9 453 (30,1 %)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9 182 (33,7 %)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 (8,2 %)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a 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11 261 (29,0 %)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10 423 (30,6 %)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838 (19,4 %)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a 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5 400 (21,9 %)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4 482 (20,2 %)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918 (32,4 %)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a más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4 711 (19,0 %)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3 404 (15,5 %)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1 307 (40,0 %)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13 026 (48,3 %)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11 048 (46,0 %)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1 978 (62,6 %)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Mujer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17 799 (51,7 %)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16 443 (54,0 %)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1 356 (37,4 %)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Área de residencia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19 511 (82,1 %)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17 339 (81,5 %)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2 172 (85,8 %)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11 314 (17,9 %)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10 152 (18,5 %)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1 162 (14,2 %)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Región 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Lima Metropolitana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3 371 (37,0 %)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2 882 (35,9 %)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489 (43,1 %)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 de la Costa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8 628 (25,9 %)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7 581 (25,7 %)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1 047 (27,2 %)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Sierra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11 175 (24,3 %)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10 017 (24,9 %)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1 158 (20,9 %)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7 651 (12,8 %)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7 011 (13,4 %)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640 (8,9 %)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 educativo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nivel o inicial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1 166 (2,9 %)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900 (2,6 %)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6 568 (17,5 %)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5 588 (16,5 %)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980 (23,9 %)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14 037 (45,7 %)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12 850 (46,8 %)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1 187 (38,6 %)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9 054 (33,9 %)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8 153 (34,1 %)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901 (32,7 %)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1 (más pobre)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10 494 (18,4 %)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9 490 (19,1 %)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1 004 (14,1 %)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7 665 (20,5 %)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6 940 (21,0 %)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 (17,1 %)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5 607 (20,7 %)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4 972 (20,7 %)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 (20,4 %)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4 226 (20,6 %)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3 674 (20,0 %)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552 (23,7 %)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 5 (más rico)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2 833 (19,9 %)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2 415 (19,1 %)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 (24,7 %)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Fuma actualmente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2 858 (8,8 %)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2 424 (8,6 %)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434 (10,3 %)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Consumió alcohol en los últimos 30 días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10 189 (34,9 %)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8 985 (34,9 %)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1 204 (35,5 %)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 diagnosticada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1 099 (5,2 %)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 (4,4 %)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269 (10,0 %)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&lt;0,001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dato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sin ponderar (% ponderado); mediana ponderada (Q1 – Q3)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 de rangos basada en el diseño; chi cuadrado de Pearson con corrección de Rao-Scott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2026-10-13T21:56:37Z</dcterms:modified>
  <cp:category/>
</cp:coreProperties>
</file>